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1" w:rsidRPr="00205AF1" w:rsidRDefault="00205AF1" w:rsidP="00491580">
      <w:pPr>
        <w:pStyle w:val="BodyText"/>
        <w:ind w:left="990" w:right="-450" w:hanging="990"/>
        <w:rPr>
          <w:b/>
          <w:sz w:val="20"/>
        </w:rPr>
      </w:pPr>
      <w:r w:rsidRPr="00205AF1">
        <w:rPr>
          <w:b/>
          <w:sz w:val="20"/>
        </w:rPr>
        <w:t>PART A – EXPLANATORY NOTES PURSUANT TO FINANCIAL REPORTING STANDARD 134: INTERIM FINANCIAL REPORTING ISSUED BY THE MALAYSIAN ACCOUNTING STANDARDS BOARD</w:t>
      </w:r>
    </w:p>
    <w:p w:rsidR="00205AF1" w:rsidRDefault="00205AF1" w:rsidP="00491580">
      <w:pPr>
        <w:pStyle w:val="BodyText"/>
        <w:ind w:right="-450" w:hanging="1800"/>
        <w:rPr>
          <w:sz w:val="20"/>
        </w:rPr>
      </w:pPr>
    </w:p>
    <w:p w:rsidR="00205AF1" w:rsidRDefault="00205AF1" w:rsidP="00491580">
      <w:pPr>
        <w:pStyle w:val="BodyText"/>
        <w:ind w:right="-450" w:hanging="1800"/>
        <w:rPr>
          <w:sz w:val="20"/>
        </w:rPr>
      </w:pPr>
    </w:p>
    <w:p w:rsidR="0059386B" w:rsidRDefault="0059386B" w:rsidP="00491580">
      <w:pPr>
        <w:pStyle w:val="BodyText"/>
        <w:ind w:right="-450" w:hanging="1800"/>
        <w:rPr>
          <w:b/>
          <w:sz w:val="20"/>
        </w:rPr>
      </w:pPr>
      <w:r>
        <w:rPr>
          <w:sz w:val="20"/>
        </w:rPr>
        <w:t>A1</w:t>
      </w:r>
      <w:r>
        <w:rPr>
          <w:sz w:val="20"/>
        </w:rPr>
        <w:tab/>
      </w:r>
      <w:r w:rsidR="00491580" w:rsidRPr="00CD4EA0">
        <w:rPr>
          <w:b/>
          <w:sz w:val="20"/>
        </w:rPr>
        <w:t>A1</w:t>
      </w:r>
      <w:r w:rsidR="00491580">
        <w:rPr>
          <w:sz w:val="20"/>
        </w:rPr>
        <w:tab/>
      </w:r>
      <w:r w:rsidR="00784FE4">
        <w:rPr>
          <w:b/>
          <w:sz w:val="20"/>
        </w:rPr>
        <w:t>First-time adoption of Malaysian Financial Reporting Standards (“MFRS”)</w:t>
      </w:r>
    </w:p>
    <w:p w:rsidR="0059386B" w:rsidRDefault="0059386B" w:rsidP="00491580">
      <w:pPr>
        <w:pStyle w:val="BodyText"/>
        <w:ind w:left="720" w:right="-450" w:hanging="1800"/>
        <w:rPr>
          <w:sz w:val="20"/>
        </w:rPr>
      </w:pPr>
    </w:p>
    <w:p w:rsidR="00784FE4" w:rsidRPr="00800493" w:rsidRDefault="00784FE4" w:rsidP="00784FE4">
      <w:pPr>
        <w:autoSpaceDE w:val="0"/>
        <w:autoSpaceDN w:val="0"/>
        <w:adjustRightInd w:val="0"/>
        <w:ind w:left="720" w:right="-450"/>
        <w:jc w:val="both"/>
      </w:pPr>
      <w:r w:rsidRPr="00800493">
        <w:t>These condensed consolidated interim financial statements, for the period ended 3</w:t>
      </w:r>
      <w:r w:rsidR="0005011F">
        <w:t>0</w:t>
      </w:r>
      <w:r w:rsidRPr="00800493">
        <w:t xml:space="preserve"> </w:t>
      </w:r>
      <w:r w:rsidR="0005011F">
        <w:t>June</w:t>
      </w:r>
      <w:r w:rsidRPr="00800493">
        <w:t xml:space="preserve"> 2012, have </w:t>
      </w:r>
      <w:r>
        <w:t xml:space="preserve">been </w:t>
      </w:r>
      <w:r w:rsidRPr="00800493">
        <w:t>prepared in accordance with MFRS 134 Interim Financial Reporting and paragraph 9.22 of the Listing</w:t>
      </w:r>
      <w:r>
        <w:t xml:space="preserve"> </w:t>
      </w:r>
      <w:r w:rsidRPr="00800493">
        <w:t xml:space="preserve">Requirements of Bursa Malaysia Securities </w:t>
      </w:r>
      <w:proofErr w:type="spellStart"/>
      <w:r w:rsidRPr="00800493">
        <w:t>Berhad</w:t>
      </w:r>
      <w:proofErr w:type="spellEnd"/>
      <w:r w:rsidRPr="00800493">
        <w:t>. These condensed consolidated interim financial statements</w:t>
      </w:r>
      <w:r>
        <w:t xml:space="preserve"> </w:t>
      </w:r>
      <w:r w:rsidRPr="00800493">
        <w:t>also comply with IAS 34 Interim Financial Reporting issued by the International Accounting Standards Board. For</w:t>
      </w:r>
      <w:r>
        <w:t xml:space="preserve"> </w:t>
      </w:r>
      <w:r w:rsidRPr="00800493">
        <w:t>the period up to and including the year ended 31 December 2011, the Group prepared its financial statements in</w:t>
      </w:r>
      <w:r>
        <w:t xml:space="preserve"> </w:t>
      </w:r>
      <w:r w:rsidRPr="00800493">
        <w:t>accordance with applicable Financial Reporting Standards (“FRS”).</w:t>
      </w:r>
    </w:p>
    <w:p w:rsidR="00784FE4" w:rsidRPr="00800493" w:rsidRDefault="00784FE4" w:rsidP="00784FE4">
      <w:pPr>
        <w:autoSpaceDE w:val="0"/>
        <w:autoSpaceDN w:val="0"/>
        <w:adjustRightInd w:val="0"/>
      </w:pPr>
    </w:p>
    <w:p w:rsidR="00784FE4" w:rsidRPr="00800493" w:rsidRDefault="00784FE4" w:rsidP="00784FE4">
      <w:pPr>
        <w:autoSpaceDE w:val="0"/>
        <w:autoSpaceDN w:val="0"/>
        <w:adjustRightInd w:val="0"/>
        <w:ind w:left="720" w:right="-450"/>
        <w:jc w:val="both"/>
      </w:pPr>
      <w:r w:rsidRPr="00800493">
        <w:t>These condensed consolidated interim financial statements are the Group’s first MFRS condensed consolidated</w:t>
      </w:r>
      <w:r>
        <w:t xml:space="preserve"> </w:t>
      </w:r>
      <w:r w:rsidRPr="00800493">
        <w:t>interim financial statements for part of the period covered by the Group’s first MFRS annual financial statements</w:t>
      </w:r>
      <w:r>
        <w:t xml:space="preserve"> </w:t>
      </w:r>
      <w:r w:rsidRPr="00800493">
        <w:t>for the year ending 31 December 2012. MFRS 1 First-Time Adoption of Malaysian Financial Reporting Standards</w:t>
      </w:r>
      <w:r>
        <w:t xml:space="preserve"> </w:t>
      </w:r>
      <w:r w:rsidRPr="00800493">
        <w:t>(“MFRS 1”) has been applied.</w:t>
      </w:r>
    </w:p>
    <w:p w:rsidR="00784FE4" w:rsidRPr="00800493" w:rsidRDefault="00784FE4" w:rsidP="00784FE4">
      <w:pPr>
        <w:autoSpaceDE w:val="0"/>
        <w:autoSpaceDN w:val="0"/>
        <w:adjustRightInd w:val="0"/>
        <w:jc w:val="both"/>
      </w:pPr>
    </w:p>
    <w:p w:rsidR="00784FE4" w:rsidRPr="00800493" w:rsidRDefault="00784FE4" w:rsidP="00784FE4">
      <w:pPr>
        <w:autoSpaceDE w:val="0"/>
        <w:autoSpaceDN w:val="0"/>
        <w:adjustRightInd w:val="0"/>
        <w:ind w:left="720" w:right="-450"/>
        <w:jc w:val="both"/>
      </w:pPr>
      <w:r w:rsidRPr="00800493">
        <w:t>The explanatory notes attached to these condensed consolidated interim financial statements provide an</w:t>
      </w:r>
      <w:r>
        <w:t xml:space="preserve"> </w:t>
      </w:r>
      <w:r w:rsidRPr="00800493">
        <w:t>explanation of events and transactions that are significant to an understanding of the changes in the financial</w:t>
      </w:r>
      <w:r>
        <w:t xml:space="preserve"> </w:t>
      </w:r>
      <w:r w:rsidRPr="00800493">
        <w:t>position and performance of the Group since the year ended 31 December 2011.</w:t>
      </w:r>
    </w:p>
    <w:p w:rsidR="00784FE4" w:rsidRPr="00800493" w:rsidRDefault="00784FE4" w:rsidP="00784FE4">
      <w:pPr>
        <w:autoSpaceDE w:val="0"/>
        <w:autoSpaceDN w:val="0"/>
        <w:adjustRightInd w:val="0"/>
        <w:ind w:right="-450"/>
        <w:jc w:val="both"/>
      </w:pPr>
    </w:p>
    <w:p w:rsidR="00784FE4" w:rsidRPr="00800493" w:rsidRDefault="00784FE4" w:rsidP="00784FE4">
      <w:pPr>
        <w:autoSpaceDE w:val="0"/>
        <w:autoSpaceDN w:val="0"/>
        <w:adjustRightInd w:val="0"/>
        <w:ind w:left="720" w:right="-450"/>
        <w:jc w:val="both"/>
      </w:pPr>
      <w:r w:rsidRPr="00800493">
        <w:t>In preparing its MFRS Statement of Financial Position as at 1 January 2011 (which is also the date of transition),</w:t>
      </w:r>
      <w:r>
        <w:t xml:space="preserve"> </w:t>
      </w:r>
      <w:r w:rsidRPr="00800493">
        <w:t>the Group reviewed its accounting policies and considered the transitional opportunities under MFRS 1. The</w:t>
      </w:r>
      <w:r>
        <w:t xml:space="preserve"> </w:t>
      </w:r>
      <w:r w:rsidRPr="00800493">
        <w:t>impact of the transaction from FRS to MFRS is described in Note A2 below.</w:t>
      </w:r>
    </w:p>
    <w:p w:rsidR="0059386B" w:rsidRDefault="0059386B" w:rsidP="00784FE4">
      <w:pPr>
        <w:pStyle w:val="BodyText"/>
        <w:ind w:left="720" w:right="-450" w:hanging="1800"/>
        <w:rPr>
          <w:sz w:val="20"/>
        </w:rPr>
      </w:pPr>
    </w:p>
    <w:p w:rsidR="004F717C" w:rsidRDefault="004F717C" w:rsidP="00491580">
      <w:pPr>
        <w:pStyle w:val="BodyText"/>
        <w:ind w:left="720" w:right="-450" w:hanging="1800"/>
        <w:rPr>
          <w:sz w:val="20"/>
        </w:rPr>
      </w:pPr>
    </w:p>
    <w:p w:rsidR="00FD3210" w:rsidRDefault="0059386B" w:rsidP="00491580">
      <w:pPr>
        <w:pStyle w:val="BodyTextIndent3"/>
        <w:ind w:right="-450"/>
        <w:rPr>
          <w:b/>
          <w:bCs/>
        </w:rPr>
      </w:pPr>
      <w:r w:rsidRPr="00CD4EA0">
        <w:rPr>
          <w:b/>
        </w:rPr>
        <w:t>A2</w:t>
      </w:r>
      <w:r w:rsidRPr="00346C33">
        <w:tab/>
      </w:r>
      <w:r w:rsidR="009D0FF0" w:rsidRPr="00800493">
        <w:rPr>
          <w:b/>
          <w:bCs/>
        </w:rPr>
        <w:t>Significant accounting policies</w:t>
      </w:r>
    </w:p>
    <w:p w:rsidR="00FD3210" w:rsidRDefault="00FD3210" w:rsidP="00491580">
      <w:pPr>
        <w:pStyle w:val="BodyTextIndent3"/>
        <w:ind w:right="-450"/>
        <w:rPr>
          <w:b/>
          <w:bCs/>
        </w:rPr>
      </w:pPr>
    </w:p>
    <w:p w:rsidR="0059386B" w:rsidRPr="00346C33" w:rsidRDefault="00FD3210" w:rsidP="00FD3210">
      <w:pPr>
        <w:pStyle w:val="BodyTextIndent3"/>
        <w:ind w:right="-450" w:hanging="360"/>
        <w:rPr>
          <w:b/>
        </w:rPr>
      </w:pPr>
      <w:r>
        <w:rPr>
          <w:b/>
          <w:bCs/>
        </w:rPr>
        <w:t>2.1</w:t>
      </w:r>
      <w:r>
        <w:rPr>
          <w:b/>
          <w:bCs/>
        </w:rPr>
        <w:tab/>
        <w:t>A</w:t>
      </w:r>
      <w:r w:rsidR="009D0FF0" w:rsidRPr="00800493">
        <w:rPr>
          <w:b/>
          <w:bCs/>
        </w:rPr>
        <w:t>pplication of MFRS 1</w:t>
      </w:r>
    </w:p>
    <w:p w:rsidR="00107B2F" w:rsidRPr="00346C33" w:rsidRDefault="00107B2F" w:rsidP="00491580">
      <w:pPr>
        <w:pStyle w:val="BodyTextIndent3"/>
        <w:ind w:right="-450"/>
        <w:rPr>
          <w:b/>
        </w:rPr>
      </w:pPr>
    </w:p>
    <w:p w:rsidR="009D0FF0" w:rsidRDefault="009D0FF0" w:rsidP="009D0FF0">
      <w:pPr>
        <w:autoSpaceDE w:val="0"/>
        <w:autoSpaceDN w:val="0"/>
        <w:adjustRightInd w:val="0"/>
        <w:ind w:left="720" w:right="-450"/>
        <w:jc w:val="both"/>
      </w:pPr>
      <w:r w:rsidRPr="00800493">
        <w:t>The audited financial statements of the Group for the year ended 31 December 2011 were prepared in accordance</w:t>
      </w:r>
      <w:r>
        <w:t xml:space="preserve"> </w:t>
      </w:r>
      <w:r w:rsidRPr="00800493">
        <w:t>with FRS. Except for certain differences, the requirements under FRS and MFRS are similar. The significant</w:t>
      </w:r>
      <w:r>
        <w:t xml:space="preserve"> a</w:t>
      </w:r>
      <w:r w:rsidRPr="00800493">
        <w:t>ccounting policies adopted in preparing this condensed consolidated interim financial statements are consistent</w:t>
      </w:r>
      <w:r>
        <w:t xml:space="preserve"> </w:t>
      </w:r>
      <w:r w:rsidRPr="00800493">
        <w:t>with those of the audited financial statements for the year ended 31 December 2011 except as discussed below:</w:t>
      </w:r>
    </w:p>
    <w:p w:rsidR="009D0FF0" w:rsidRDefault="009D0FF0" w:rsidP="009D0FF0">
      <w:pPr>
        <w:autoSpaceDE w:val="0"/>
        <w:autoSpaceDN w:val="0"/>
        <w:adjustRightInd w:val="0"/>
        <w:ind w:left="720" w:right="-450"/>
        <w:jc w:val="both"/>
      </w:pPr>
    </w:p>
    <w:p w:rsidR="009D0FF0" w:rsidRDefault="009D0FF0" w:rsidP="00810EC5">
      <w:pPr>
        <w:autoSpaceDE w:val="0"/>
        <w:autoSpaceDN w:val="0"/>
        <w:adjustRightInd w:val="0"/>
        <w:ind w:firstLine="720"/>
        <w:rPr>
          <w:b/>
          <w:bCs/>
          <w:i/>
          <w:u w:val="single"/>
        </w:rPr>
      </w:pPr>
      <w:r w:rsidRPr="00810EC5">
        <w:rPr>
          <w:b/>
          <w:bCs/>
          <w:i/>
          <w:u w:val="single"/>
        </w:rPr>
        <w:t>Foreign currency translation reserve</w:t>
      </w:r>
    </w:p>
    <w:p w:rsidR="00D36F6D" w:rsidRPr="00810EC5" w:rsidRDefault="00D36F6D" w:rsidP="00810EC5">
      <w:pPr>
        <w:autoSpaceDE w:val="0"/>
        <w:autoSpaceDN w:val="0"/>
        <w:adjustRightInd w:val="0"/>
        <w:ind w:firstLine="720"/>
        <w:rPr>
          <w:b/>
          <w:bCs/>
          <w:i/>
          <w:u w:val="single"/>
        </w:rPr>
      </w:pPr>
    </w:p>
    <w:p w:rsidR="009D0FF0" w:rsidRDefault="009D0FF0" w:rsidP="00A3741C">
      <w:pPr>
        <w:autoSpaceDE w:val="0"/>
        <w:autoSpaceDN w:val="0"/>
        <w:adjustRightInd w:val="0"/>
        <w:ind w:left="720" w:right="-450"/>
        <w:jc w:val="both"/>
      </w:pPr>
      <w:r w:rsidRPr="00800493">
        <w:t>Under FRS, the Group recognized translation differences on foreign operations in a separate component of</w:t>
      </w:r>
      <w:r>
        <w:t xml:space="preserve"> </w:t>
      </w:r>
      <w:r w:rsidR="00810EC5">
        <w:t>e</w:t>
      </w:r>
      <w:r w:rsidRPr="00800493">
        <w:t>quity.</w:t>
      </w:r>
      <w:r w:rsidR="00810EC5">
        <w:t xml:space="preserve">  Cumulative foreign currency translation differences for all foreign operations are deemed to be zero as at the date of transition to MFRS.  Accordingly, at date of transition to MFRS, the cumulative foreign currency transition differences of RM</w:t>
      </w:r>
      <w:r w:rsidR="00A3741C">
        <w:t>43</w:t>
      </w:r>
      <w:proofErr w:type="gramStart"/>
      <w:r w:rsidR="00A3741C">
        <w:t>,459,000</w:t>
      </w:r>
      <w:proofErr w:type="gramEnd"/>
      <w:r w:rsidR="00810EC5">
        <w:t xml:space="preserve"> (3</w:t>
      </w:r>
      <w:r w:rsidR="0005011F">
        <w:t>0</w:t>
      </w:r>
      <w:r w:rsidR="00810EC5">
        <w:t xml:space="preserve"> </w:t>
      </w:r>
      <w:r w:rsidR="0005011F">
        <w:t>June</w:t>
      </w:r>
      <w:r w:rsidR="00810EC5">
        <w:t xml:space="preserve"> 2011: RM</w:t>
      </w:r>
      <w:r w:rsidR="00A3741C">
        <w:t>43,459,000</w:t>
      </w:r>
      <w:r w:rsidR="00810EC5">
        <w:t>; 31 December 2011: RM</w:t>
      </w:r>
      <w:r w:rsidR="00A3741C">
        <w:t>43,459,000</w:t>
      </w:r>
      <w:r w:rsidR="00810EC5">
        <w:t>) were adjusted to retained earnings.</w:t>
      </w:r>
    </w:p>
    <w:p w:rsidR="00FD3210" w:rsidRDefault="00FD3210" w:rsidP="00A3741C">
      <w:pPr>
        <w:autoSpaceDE w:val="0"/>
        <w:autoSpaceDN w:val="0"/>
        <w:adjustRightInd w:val="0"/>
        <w:ind w:left="720" w:right="-450"/>
        <w:jc w:val="both"/>
      </w:pPr>
    </w:p>
    <w:p w:rsidR="00FD3210" w:rsidRPr="00A21874" w:rsidRDefault="00FD3210" w:rsidP="00FD3210">
      <w:pPr>
        <w:pStyle w:val="Default"/>
        <w:ind w:left="720" w:right="-450"/>
        <w:jc w:val="both"/>
        <w:rPr>
          <w:rFonts w:ascii="Times New Roman" w:hAnsi="Times New Roman" w:cs="Times New Roman"/>
          <w:sz w:val="20"/>
          <w:szCs w:val="20"/>
        </w:rPr>
      </w:pPr>
      <w:r w:rsidRPr="00A21874">
        <w:rPr>
          <w:rFonts w:ascii="Times New Roman" w:hAnsi="Times New Roman" w:cs="Times New Roman"/>
          <w:sz w:val="20"/>
          <w:szCs w:val="20"/>
        </w:rPr>
        <w:t>The reconciliations of equity for comparative periods and of</w:t>
      </w:r>
      <w:r>
        <w:rPr>
          <w:rFonts w:ascii="Times New Roman" w:hAnsi="Times New Roman" w:cs="Times New Roman"/>
          <w:sz w:val="20"/>
          <w:szCs w:val="20"/>
        </w:rPr>
        <w:t xml:space="preserve"> </w:t>
      </w:r>
      <w:r w:rsidRPr="00A21874">
        <w:rPr>
          <w:rFonts w:ascii="Times New Roman" w:hAnsi="Times New Roman" w:cs="Times New Roman"/>
          <w:sz w:val="20"/>
          <w:szCs w:val="20"/>
        </w:rPr>
        <w:t xml:space="preserve">equity at the date of transition reported under FRS to those reported for those periods and the date of transition under MFRS are provided below: </w:t>
      </w:r>
    </w:p>
    <w:p w:rsidR="00FD3210" w:rsidRDefault="00FD3210"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Default="004043ED" w:rsidP="00A3741C">
      <w:pPr>
        <w:autoSpaceDE w:val="0"/>
        <w:autoSpaceDN w:val="0"/>
        <w:adjustRightInd w:val="0"/>
        <w:ind w:left="720" w:right="-450"/>
        <w:jc w:val="both"/>
      </w:pPr>
    </w:p>
    <w:p w:rsidR="004043ED" w:rsidRPr="00800493" w:rsidRDefault="004043ED" w:rsidP="00A3741C">
      <w:pPr>
        <w:autoSpaceDE w:val="0"/>
        <w:autoSpaceDN w:val="0"/>
        <w:adjustRightInd w:val="0"/>
        <w:ind w:left="720" w:right="-450"/>
        <w:jc w:val="both"/>
      </w:pPr>
    </w:p>
    <w:p w:rsidR="009D0FF0" w:rsidRDefault="002F4694" w:rsidP="009D0FF0">
      <w:pPr>
        <w:autoSpaceDE w:val="0"/>
        <w:autoSpaceDN w:val="0"/>
        <w:adjustRightInd w:val="0"/>
        <w:rPr>
          <w:u w:val="single"/>
        </w:rPr>
      </w:pPr>
      <w:r>
        <w:lastRenderedPageBreak/>
        <w:tab/>
      </w:r>
      <w:r>
        <w:rPr>
          <w:u w:val="single"/>
        </w:rPr>
        <w:t>Reconciliation of equity as at 1 January 2011</w:t>
      </w:r>
    </w:p>
    <w:p w:rsidR="002F4694" w:rsidRDefault="002F4694" w:rsidP="009D0FF0">
      <w:pPr>
        <w:autoSpaceDE w:val="0"/>
        <w:autoSpaceDN w:val="0"/>
        <w:adjustRightInd w:val="0"/>
        <w:rPr>
          <w:u w:val="single"/>
        </w:rPr>
      </w:pPr>
    </w:p>
    <w:tbl>
      <w:tblPr>
        <w:tblW w:w="8046" w:type="dxa"/>
        <w:tblInd w:w="1368" w:type="dxa"/>
        <w:tblLook w:val="01E0"/>
      </w:tblPr>
      <w:tblGrid>
        <w:gridCol w:w="90"/>
        <w:gridCol w:w="3759"/>
        <w:gridCol w:w="1472"/>
        <w:gridCol w:w="1450"/>
        <w:gridCol w:w="1275"/>
      </w:tblGrid>
      <w:tr w:rsidR="002F4694" w:rsidRPr="00625F81" w:rsidTr="00462E37">
        <w:trPr>
          <w:gridBefore w:val="1"/>
          <w:wBefore w:w="90" w:type="dxa"/>
        </w:trPr>
        <w:tc>
          <w:tcPr>
            <w:tcW w:w="3759" w:type="dxa"/>
            <w:tcBorders>
              <w:right w:val="single" w:sz="4" w:space="0" w:color="auto"/>
            </w:tcBorders>
          </w:tcPr>
          <w:p w:rsidR="002F4694" w:rsidRPr="00625F81" w:rsidRDefault="002F4694" w:rsidP="002F4694">
            <w:pPr>
              <w:tabs>
                <w:tab w:val="left" w:pos="720"/>
              </w:tabs>
              <w:ind w:right="-450"/>
              <w:jc w:val="both"/>
              <w:rPr>
                <w:b/>
              </w:rPr>
            </w:pPr>
          </w:p>
          <w:p w:rsidR="002F4694" w:rsidRPr="00625F81" w:rsidRDefault="002F4694" w:rsidP="002F4694">
            <w:pPr>
              <w:tabs>
                <w:tab w:val="left" w:pos="720"/>
              </w:tabs>
              <w:ind w:right="-450"/>
              <w:jc w:val="both"/>
              <w:rPr>
                <w:b/>
              </w:rPr>
            </w:pPr>
          </w:p>
        </w:tc>
        <w:tc>
          <w:tcPr>
            <w:tcW w:w="1472" w:type="dxa"/>
            <w:tcBorders>
              <w:top w:val="single" w:sz="4" w:space="0" w:color="auto"/>
              <w:left w:val="single" w:sz="4" w:space="0" w:color="auto"/>
              <w:bottom w:val="single" w:sz="4" w:space="0" w:color="auto"/>
              <w:right w:val="single" w:sz="4" w:space="0" w:color="auto"/>
            </w:tcBorders>
          </w:tcPr>
          <w:p w:rsidR="002F4694" w:rsidRDefault="002F4694" w:rsidP="002F4694">
            <w:pPr>
              <w:pStyle w:val="BodyText"/>
              <w:tabs>
                <w:tab w:val="left" w:pos="360"/>
                <w:tab w:val="left" w:pos="540"/>
                <w:tab w:val="left" w:pos="630"/>
                <w:tab w:val="left" w:pos="1080"/>
              </w:tabs>
              <w:ind w:left="-18" w:right="-18"/>
              <w:jc w:val="center"/>
              <w:rPr>
                <w:b/>
                <w:sz w:val="18"/>
              </w:rPr>
            </w:pPr>
            <w:r>
              <w:rPr>
                <w:b/>
                <w:sz w:val="18"/>
              </w:rPr>
              <w:t>FRS as at</w:t>
            </w:r>
          </w:p>
          <w:p w:rsidR="002F4694" w:rsidRPr="0024709B" w:rsidRDefault="002F4694" w:rsidP="002F4694">
            <w:pPr>
              <w:pStyle w:val="BodyText"/>
              <w:tabs>
                <w:tab w:val="left" w:pos="360"/>
                <w:tab w:val="left" w:pos="540"/>
                <w:tab w:val="left" w:pos="630"/>
                <w:tab w:val="left" w:pos="1080"/>
              </w:tabs>
              <w:ind w:left="-108" w:right="-108"/>
              <w:jc w:val="center"/>
              <w:rPr>
                <w:b/>
                <w:sz w:val="18"/>
              </w:rPr>
            </w:pPr>
            <w:r w:rsidRPr="0024709B">
              <w:rPr>
                <w:b/>
                <w:sz w:val="18"/>
              </w:rPr>
              <w:t>1</w:t>
            </w:r>
            <w:r>
              <w:rPr>
                <w:b/>
                <w:sz w:val="18"/>
              </w:rPr>
              <w:t>/1/2011</w:t>
            </w:r>
          </w:p>
          <w:p w:rsidR="002F4694" w:rsidRPr="00625F81" w:rsidRDefault="002F4694" w:rsidP="002F4694">
            <w:pPr>
              <w:pStyle w:val="BodyText"/>
              <w:tabs>
                <w:tab w:val="left" w:pos="360"/>
                <w:tab w:val="left" w:pos="540"/>
                <w:tab w:val="left" w:pos="630"/>
                <w:tab w:val="left" w:pos="1080"/>
              </w:tabs>
              <w:ind w:left="-18" w:right="-18"/>
              <w:jc w:val="center"/>
              <w:rPr>
                <w:b/>
                <w:sz w:val="18"/>
              </w:rPr>
            </w:pPr>
            <w:r w:rsidRPr="00625F81">
              <w:rPr>
                <w:b/>
                <w:sz w:val="18"/>
              </w:rPr>
              <w:t>RM’000</w:t>
            </w:r>
          </w:p>
        </w:tc>
        <w:tc>
          <w:tcPr>
            <w:tcW w:w="1450" w:type="dxa"/>
            <w:tcBorders>
              <w:top w:val="single" w:sz="4" w:space="0" w:color="auto"/>
              <w:left w:val="single" w:sz="4" w:space="0" w:color="auto"/>
              <w:bottom w:val="single" w:sz="4" w:space="0" w:color="auto"/>
              <w:right w:val="single" w:sz="4" w:space="0" w:color="auto"/>
            </w:tcBorders>
          </w:tcPr>
          <w:p w:rsidR="002F4694" w:rsidRDefault="002F4694" w:rsidP="002F4694">
            <w:pPr>
              <w:pStyle w:val="BodyText"/>
              <w:tabs>
                <w:tab w:val="left" w:pos="360"/>
                <w:tab w:val="left" w:pos="540"/>
                <w:tab w:val="left" w:pos="630"/>
                <w:tab w:val="left" w:pos="1080"/>
              </w:tabs>
              <w:ind w:left="-18" w:right="-18"/>
              <w:jc w:val="center"/>
              <w:rPr>
                <w:b/>
                <w:sz w:val="18"/>
              </w:rPr>
            </w:pPr>
          </w:p>
          <w:p w:rsidR="002F4694" w:rsidRPr="00625F81" w:rsidRDefault="002F4694" w:rsidP="002F4694">
            <w:pPr>
              <w:pStyle w:val="BodyText"/>
              <w:tabs>
                <w:tab w:val="left" w:pos="360"/>
                <w:tab w:val="left" w:pos="540"/>
                <w:tab w:val="left" w:pos="630"/>
                <w:tab w:val="left" w:pos="1080"/>
              </w:tabs>
              <w:ind w:left="-18" w:right="-18"/>
              <w:jc w:val="center"/>
              <w:rPr>
                <w:b/>
                <w:sz w:val="18"/>
              </w:rPr>
            </w:pPr>
            <w:r>
              <w:rPr>
                <w:b/>
                <w:sz w:val="18"/>
              </w:rPr>
              <w:t>Reclassifications</w:t>
            </w:r>
          </w:p>
          <w:p w:rsidR="002F4694" w:rsidRPr="00625F81" w:rsidRDefault="002F4694" w:rsidP="002F4694">
            <w:pPr>
              <w:pStyle w:val="BodyText"/>
              <w:tabs>
                <w:tab w:val="left" w:pos="360"/>
                <w:tab w:val="left" w:pos="540"/>
                <w:tab w:val="left" w:pos="630"/>
                <w:tab w:val="left" w:pos="1080"/>
              </w:tabs>
              <w:ind w:left="-18" w:right="-18"/>
              <w:jc w:val="center"/>
              <w:rPr>
                <w:b/>
                <w:sz w:val="18"/>
              </w:rPr>
            </w:pPr>
            <w:r w:rsidRPr="00625F81">
              <w:rPr>
                <w:b/>
                <w:sz w:val="18"/>
              </w:rPr>
              <w:t>RM’000</w:t>
            </w:r>
          </w:p>
        </w:tc>
        <w:tc>
          <w:tcPr>
            <w:tcW w:w="1275" w:type="dxa"/>
            <w:tcBorders>
              <w:top w:val="single" w:sz="4" w:space="0" w:color="auto"/>
              <w:left w:val="single" w:sz="4" w:space="0" w:color="auto"/>
              <w:bottom w:val="single" w:sz="4" w:space="0" w:color="auto"/>
              <w:right w:val="single" w:sz="4" w:space="0" w:color="auto"/>
            </w:tcBorders>
          </w:tcPr>
          <w:p w:rsidR="002F4694" w:rsidRPr="00625F81" w:rsidRDefault="002F4694" w:rsidP="002F4694">
            <w:pPr>
              <w:pStyle w:val="BodyText"/>
              <w:tabs>
                <w:tab w:val="left" w:pos="360"/>
                <w:tab w:val="left" w:pos="540"/>
                <w:tab w:val="left" w:pos="630"/>
                <w:tab w:val="left" w:pos="1080"/>
              </w:tabs>
              <w:ind w:left="-18" w:right="-18"/>
              <w:jc w:val="center"/>
              <w:rPr>
                <w:b/>
                <w:sz w:val="18"/>
              </w:rPr>
            </w:pPr>
            <w:r>
              <w:rPr>
                <w:b/>
                <w:sz w:val="18"/>
              </w:rPr>
              <w:t>MFRS as at</w:t>
            </w:r>
          </w:p>
          <w:p w:rsidR="002F4694" w:rsidRPr="00625F81" w:rsidRDefault="002F4694" w:rsidP="002F4694">
            <w:pPr>
              <w:pStyle w:val="BodyText"/>
              <w:tabs>
                <w:tab w:val="left" w:pos="360"/>
                <w:tab w:val="left" w:pos="540"/>
                <w:tab w:val="left" w:pos="630"/>
                <w:tab w:val="left" w:pos="1080"/>
              </w:tabs>
              <w:ind w:left="-18" w:right="-18"/>
              <w:jc w:val="center"/>
              <w:rPr>
                <w:b/>
                <w:sz w:val="18"/>
              </w:rPr>
            </w:pPr>
            <w:r w:rsidRPr="00625F81">
              <w:rPr>
                <w:b/>
                <w:sz w:val="18"/>
              </w:rPr>
              <w:t xml:space="preserve"> </w:t>
            </w:r>
            <w:r>
              <w:rPr>
                <w:b/>
                <w:sz w:val="18"/>
              </w:rPr>
              <w:t>1/1/2011</w:t>
            </w:r>
          </w:p>
          <w:p w:rsidR="002F4694" w:rsidRPr="00625F81" w:rsidRDefault="002F4694" w:rsidP="002F4694">
            <w:pPr>
              <w:pStyle w:val="BodyText"/>
              <w:tabs>
                <w:tab w:val="left" w:pos="360"/>
                <w:tab w:val="left" w:pos="540"/>
                <w:tab w:val="left" w:pos="630"/>
                <w:tab w:val="left" w:pos="1080"/>
              </w:tabs>
              <w:ind w:left="-18" w:right="-18"/>
              <w:jc w:val="center"/>
              <w:rPr>
                <w:b/>
                <w:sz w:val="18"/>
              </w:rPr>
            </w:pPr>
            <w:r w:rsidRPr="00625F81">
              <w:rPr>
                <w:b/>
                <w:sz w:val="18"/>
              </w:rPr>
              <w:t>RM’000</w:t>
            </w:r>
          </w:p>
        </w:tc>
      </w:tr>
      <w:tr w:rsidR="004043ED" w:rsidTr="00462E37">
        <w:tc>
          <w:tcPr>
            <w:tcW w:w="3849" w:type="dxa"/>
            <w:gridSpan w:val="2"/>
            <w:tcBorders>
              <w:right w:val="single" w:sz="4" w:space="0" w:color="auto"/>
            </w:tcBorders>
          </w:tcPr>
          <w:p w:rsidR="004043ED" w:rsidRDefault="004043ED" w:rsidP="002F4694">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4043ED" w:rsidRDefault="004043ED" w:rsidP="0021213C">
            <w:pPr>
              <w:tabs>
                <w:tab w:val="left" w:pos="720"/>
              </w:tabs>
              <w:ind w:right="-450"/>
              <w:jc w:val="center"/>
            </w:pPr>
          </w:p>
        </w:tc>
        <w:tc>
          <w:tcPr>
            <w:tcW w:w="1450" w:type="dxa"/>
            <w:tcBorders>
              <w:top w:val="single" w:sz="4" w:space="0" w:color="auto"/>
              <w:left w:val="single" w:sz="4" w:space="0" w:color="auto"/>
              <w:right w:val="single" w:sz="4" w:space="0" w:color="auto"/>
            </w:tcBorders>
          </w:tcPr>
          <w:p w:rsidR="004043ED" w:rsidRDefault="004043ED" w:rsidP="0021213C">
            <w:pPr>
              <w:tabs>
                <w:tab w:val="left" w:pos="720"/>
              </w:tabs>
              <w:ind w:right="-450"/>
              <w:jc w:val="center"/>
            </w:pPr>
          </w:p>
        </w:tc>
        <w:tc>
          <w:tcPr>
            <w:tcW w:w="1275" w:type="dxa"/>
            <w:tcBorders>
              <w:top w:val="single" w:sz="4" w:space="0" w:color="auto"/>
              <w:left w:val="single" w:sz="4" w:space="0" w:color="auto"/>
              <w:right w:val="single" w:sz="4" w:space="0" w:color="auto"/>
            </w:tcBorders>
          </w:tcPr>
          <w:p w:rsidR="004043ED" w:rsidRDefault="004043ED" w:rsidP="004043ED">
            <w:pPr>
              <w:tabs>
                <w:tab w:val="left" w:pos="720"/>
              </w:tabs>
              <w:ind w:right="-450"/>
            </w:pPr>
          </w:p>
        </w:tc>
      </w:tr>
      <w:tr w:rsidR="004043ED" w:rsidTr="00462E37">
        <w:tc>
          <w:tcPr>
            <w:tcW w:w="3849" w:type="dxa"/>
            <w:gridSpan w:val="2"/>
            <w:tcBorders>
              <w:right w:val="single" w:sz="4" w:space="0" w:color="auto"/>
            </w:tcBorders>
          </w:tcPr>
          <w:p w:rsidR="004043ED" w:rsidRPr="004043ED" w:rsidRDefault="004043ED" w:rsidP="002F4694">
            <w:pPr>
              <w:tabs>
                <w:tab w:val="left" w:pos="720"/>
              </w:tabs>
              <w:ind w:right="-450"/>
              <w:jc w:val="both"/>
            </w:pPr>
            <w:r w:rsidRPr="004043ED">
              <w:t>Non-current assets</w:t>
            </w:r>
          </w:p>
        </w:tc>
        <w:tc>
          <w:tcPr>
            <w:tcW w:w="1472" w:type="dxa"/>
            <w:tcBorders>
              <w:left w:val="single" w:sz="4" w:space="0" w:color="auto"/>
              <w:right w:val="single" w:sz="4" w:space="0" w:color="auto"/>
            </w:tcBorders>
          </w:tcPr>
          <w:p w:rsidR="004043ED" w:rsidRDefault="004043ED" w:rsidP="004043ED">
            <w:pPr>
              <w:tabs>
                <w:tab w:val="left" w:pos="720"/>
              </w:tabs>
              <w:ind w:right="-450"/>
            </w:pPr>
            <w:r>
              <w:t xml:space="preserve">        1,113,604</w:t>
            </w:r>
          </w:p>
        </w:tc>
        <w:tc>
          <w:tcPr>
            <w:tcW w:w="1450" w:type="dxa"/>
            <w:tcBorders>
              <w:left w:val="single" w:sz="4" w:space="0" w:color="auto"/>
              <w:right w:val="single" w:sz="4" w:space="0" w:color="auto"/>
            </w:tcBorders>
          </w:tcPr>
          <w:p w:rsidR="004043ED" w:rsidRDefault="004043ED" w:rsidP="0021213C">
            <w:pPr>
              <w:tabs>
                <w:tab w:val="left" w:pos="720"/>
              </w:tabs>
              <w:ind w:right="-450"/>
              <w:jc w:val="center"/>
            </w:pPr>
            <w:r>
              <w:t>-</w:t>
            </w:r>
          </w:p>
        </w:tc>
        <w:tc>
          <w:tcPr>
            <w:tcW w:w="1275" w:type="dxa"/>
            <w:tcBorders>
              <w:left w:val="single" w:sz="4" w:space="0" w:color="auto"/>
              <w:right w:val="single" w:sz="4" w:space="0" w:color="auto"/>
            </w:tcBorders>
          </w:tcPr>
          <w:p w:rsidR="004043ED" w:rsidRDefault="004043ED" w:rsidP="004043ED">
            <w:pPr>
              <w:tabs>
                <w:tab w:val="left" w:pos="720"/>
              </w:tabs>
              <w:ind w:right="-450"/>
            </w:pPr>
            <w:r>
              <w:t xml:space="preserve">   1,113,604</w:t>
            </w:r>
          </w:p>
        </w:tc>
      </w:tr>
      <w:tr w:rsidR="004043ED" w:rsidTr="00A13D92">
        <w:tc>
          <w:tcPr>
            <w:tcW w:w="3849" w:type="dxa"/>
            <w:gridSpan w:val="2"/>
            <w:tcBorders>
              <w:right w:val="single" w:sz="4" w:space="0" w:color="auto"/>
            </w:tcBorders>
          </w:tcPr>
          <w:p w:rsidR="004043ED" w:rsidRPr="004043ED" w:rsidRDefault="004043ED" w:rsidP="002F4694">
            <w:pPr>
              <w:tabs>
                <w:tab w:val="left" w:pos="720"/>
              </w:tabs>
              <w:ind w:right="-450"/>
              <w:jc w:val="both"/>
            </w:pPr>
            <w:r w:rsidRPr="004043ED">
              <w:t>Current assets</w:t>
            </w:r>
          </w:p>
        </w:tc>
        <w:tc>
          <w:tcPr>
            <w:tcW w:w="1472" w:type="dxa"/>
            <w:tcBorders>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1,581,334</w:t>
            </w:r>
          </w:p>
        </w:tc>
        <w:tc>
          <w:tcPr>
            <w:tcW w:w="1450" w:type="dxa"/>
            <w:tcBorders>
              <w:left w:val="single" w:sz="4" w:space="0" w:color="auto"/>
              <w:bottom w:val="single" w:sz="4" w:space="0" w:color="auto"/>
              <w:right w:val="single" w:sz="4" w:space="0" w:color="auto"/>
            </w:tcBorders>
          </w:tcPr>
          <w:p w:rsidR="004043ED" w:rsidRDefault="004043ED" w:rsidP="0021213C">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1,581,334</w:t>
            </w:r>
          </w:p>
        </w:tc>
      </w:tr>
      <w:tr w:rsidR="004043ED" w:rsidTr="00A13D92">
        <w:tc>
          <w:tcPr>
            <w:tcW w:w="3849" w:type="dxa"/>
            <w:gridSpan w:val="2"/>
            <w:tcBorders>
              <w:right w:val="single" w:sz="4" w:space="0" w:color="auto"/>
            </w:tcBorders>
          </w:tcPr>
          <w:p w:rsidR="004043ED" w:rsidRPr="004043ED" w:rsidRDefault="004043ED" w:rsidP="002F4694">
            <w:pPr>
              <w:tabs>
                <w:tab w:val="left" w:pos="720"/>
              </w:tabs>
              <w:ind w:right="-450"/>
              <w:jc w:val="both"/>
              <w:rPr>
                <w:b/>
              </w:rPr>
            </w:pPr>
            <w:r w:rsidRPr="004043ED">
              <w:rPr>
                <w:b/>
              </w:rPr>
              <w:t>Total assets</w:t>
            </w:r>
          </w:p>
        </w:tc>
        <w:tc>
          <w:tcPr>
            <w:tcW w:w="1472" w:type="dxa"/>
            <w:tcBorders>
              <w:top w:val="single" w:sz="4" w:space="0" w:color="auto"/>
              <w:left w:val="single" w:sz="4" w:space="0" w:color="auto"/>
              <w:bottom w:val="single" w:sz="12" w:space="0" w:color="auto"/>
              <w:right w:val="single" w:sz="4" w:space="0" w:color="auto"/>
            </w:tcBorders>
          </w:tcPr>
          <w:p w:rsidR="004043ED" w:rsidRDefault="004043ED" w:rsidP="004043ED">
            <w:pPr>
              <w:tabs>
                <w:tab w:val="left" w:pos="720"/>
              </w:tabs>
              <w:ind w:right="-450"/>
            </w:pPr>
            <w:r>
              <w:t xml:space="preserve">        2,694,938</w:t>
            </w:r>
          </w:p>
        </w:tc>
        <w:tc>
          <w:tcPr>
            <w:tcW w:w="1450" w:type="dxa"/>
            <w:tcBorders>
              <w:top w:val="single" w:sz="4" w:space="0" w:color="auto"/>
              <w:left w:val="single" w:sz="4" w:space="0" w:color="auto"/>
              <w:bottom w:val="single" w:sz="12" w:space="0" w:color="auto"/>
              <w:right w:val="single" w:sz="4" w:space="0" w:color="auto"/>
            </w:tcBorders>
          </w:tcPr>
          <w:p w:rsidR="004043ED" w:rsidRDefault="004043ED" w:rsidP="0021213C">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4043ED" w:rsidRDefault="004043ED" w:rsidP="004043ED">
            <w:pPr>
              <w:tabs>
                <w:tab w:val="left" w:pos="720"/>
              </w:tabs>
              <w:ind w:right="-450"/>
            </w:pPr>
            <w:r>
              <w:t xml:space="preserve">   2,694,938</w:t>
            </w:r>
          </w:p>
        </w:tc>
      </w:tr>
      <w:tr w:rsidR="004043ED" w:rsidTr="00A13D92">
        <w:tc>
          <w:tcPr>
            <w:tcW w:w="3849" w:type="dxa"/>
            <w:gridSpan w:val="2"/>
            <w:tcBorders>
              <w:right w:val="single" w:sz="4" w:space="0" w:color="auto"/>
            </w:tcBorders>
          </w:tcPr>
          <w:p w:rsidR="004043ED" w:rsidRDefault="004043ED" w:rsidP="002F4694">
            <w:pPr>
              <w:tabs>
                <w:tab w:val="left" w:pos="720"/>
              </w:tabs>
              <w:ind w:right="-450"/>
              <w:jc w:val="both"/>
              <w:rPr>
                <w:b/>
                <w:u w:val="single"/>
              </w:rPr>
            </w:pPr>
          </w:p>
        </w:tc>
        <w:tc>
          <w:tcPr>
            <w:tcW w:w="1472" w:type="dxa"/>
            <w:tcBorders>
              <w:top w:val="single" w:sz="12" w:space="0" w:color="auto"/>
              <w:left w:val="single" w:sz="4" w:space="0" w:color="auto"/>
              <w:right w:val="single" w:sz="4" w:space="0" w:color="auto"/>
            </w:tcBorders>
          </w:tcPr>
          <w:p w:rsidR="004043ED" w:rsidRDefault="004043ED" w:rsidP="0021213C">
            <w:pPr>
              <w:tabs>
                <w:tab w:val="left" w:pos="720"/>
              </w:tabs>
              <w:ind w:right="-450"/>
              <w:jc w:val="center"/>
            </w:pPr>
          </w:p>
        </w:tc>
        <w:tc>
          <w:tcPr>
            <w:tcW w:w="1450" w:type="dxa"/>
            <w:tcBorders>
              <w:top w:val="single" w:sz="12" w:space="0" w:color="auto"/>
              <w:left w:val="single" w:sz="4" w:space="0" w:color="auto"/>
              <w:right w:val="single" w:sz="4" w:space="0" w:color="auto"/>
            </w:tcBorders>
          </w:tcPr>
          <w:p w:rsidR="004043ED" w:rsidRDefault="004043ED" w:rsidP="0021213C">
            <w:pPr>
              <w:tabs>
                <w:tab w:val="left" w:pos="720"/>
              </w:tabs>
              <w:ind w:right="-450"/>
              <w:jc w:val="center"/>
            </w:pPr>
          </w:p>
        </w:tc>
        <w:tc>
          <w:tcPr>
            <w:tcW w:w="1275" w:type="dxa"/>
            <w:tcBorders>
              <w:top w:val="single" w:sz="12" w:space="0" w:color="auto"/>
              <w:left w:val="single" w:sz="4" w:space="0" w:color="auto"/>
              <w:right w:val="single" w:sz="4" w:space="0" w:color="auto"/>
            </w:tcBorders>
          </w:tcPr>
          <w:p w:rsidR="004043ED" w:rsidRDefault="004043ED" w:rsidP="00462E37">
            <w:pPr>
              <w:tabs>
                <w:tab w:val="left" w:pos="720"/>
              </w:tabs>
              <w:ind w:right="-450"/>
              <w:jc w:val="center"/>
            </w:pPr>
          </w:p>
        </w:tc>
      </w:tr>
      <w:tr w:rsidR="004043ED" w:rsidTr="00462E37">
        <w:tc>
          <w:tcPr>
            <w:tcW w:w="3849" w:type="dxa"/>
            <w:gridSpan w:val="2"/>
            <w:tcBorders>
              <w:right w:val="single" w:sz="4" w:space="0" w:color="auto"/>
            </w:tcBorders>
          </w:tcPr>
          <w:p w:rsidR="004043ED" w:rsidRPr="004043ED" w:rsidRDefault="004043ED" w:rsidP="00462E37">
            <w:pPr>
              <w:tabs>
                <w:tab w:val="left" w:pos="720"/>
              </w:tabs>
              <w:ind w:right="-450"/>
              <w:jc w:val="both"/>
            </w:pPr>
            <w:r w:rsidRPr="004043ED">
              <w:t xml:space="preserve">Current </w:t>
            </w:r>
            <w:r>
              <w:t>liabilities</w:t>
            </w:r>
          </w:p>
        </w:tc>
        <w:tc>
          <w:tcPr>
            <w:tcW w:w="1472" w:type="dxa"/>
            <w:tcBorders>
              <w:left w:val="single" w:sz="4" w:space="0" w:color="auto"/>
              <w:right w:val="single" w:sz="4" w:space="0" w:color="auto"/>
            </w:tcBorders>
          </w:tcPr>
          <w:p w:rsidR="004043ED" w:rsidRDefault="004043ED" w:rsidP="004043ED">
            <w:pPr>
              <w:tabs>
                <w:tab w:val="left" w:pos="720"/>
              </w:tabs>
              <w:ind w:right="-450"/>
            </w:pPr>
            <w:r>
              <w:t xml:space="preserve">        1,269,085</w:t>
            </w:r>
          </w:p>
        </w:tc>
        <w:tc>
          <w:tcPr>
            <w:tcW w:w="1450" w:type="dxa"/>
            <w:tcBorders>
              <w:left w:val="single" w:sz="4" w:space="0" w:color="auto"/>
              <w:right w:val="single" w:sz="4" w:space="0" w:color="auto"/>
            </w:tcBorders>
          </w:tcPr>
          <w:p w:rsidR="004043ED" w:rsidRDefault="004043ED" w:rsidP="00462E37">
            <w:pPr>
              <w:tabs>
                <w:tab w:val="left" w:pos="720"/>
              </w:tabs>
              <w:ind w:right="-450"/>
              <w:jc w:val="center"/>
            </w:pPr>
            <w:r>
              <w:t>-</w:t>
            </w:r>
          </w:p>
        </w:tc>
        <w:tc>
          <w:tcPr>
            <w:tcW w:w="1275" w:type="dxa"/>
            <w:tcBorders>
              <w:left w:val="single" w:sz="4" w:space="0" w:color="auto"/>
              <w:right w:val="single" w:sz="4" w:space="0" w:color="auto"/>
            </w:tcBorders>
          </w:tcPr>
          <w:p w:rsidR="004043ED" w:rsidRDefault="004043ED" w:rsidP="00462E37">
            <w:pPr>
              <w:tabs>
                <w:tab w:val="left" w:pos="720"/>
              </w:tabs>
              <w:ind w:right="-450"/>
            </w:pPr>
            <w:r>
              <w:t xml:space="preserve">   1,269,085</w:t>
            </w:r>
          </w:p>
        </w:tc>
      </w:tr>
      <w:tr w:rsidR="004043ED" w:rsidTr="00462E37">
        <w:tc>
          <w:tcPr>
            <w:tcW w:w="3849" w:type="dxa"/>
            <w:gridSpan w:val="2"/>
            <w:tcBorders>
              <w:right w:val="single" w:sz="4" w:space="0" w:color="auto"/>
            </w:tcBorders>
          </w:tcPr>
          <w:p w:rsidR="004043ED" w:rsidRPr="004043ED" w:rsidRDefault="004043ED" w:rsidP="00462E37">
            <w:pPr>
              <w:tabs>
                <w:tab w:val="left" w:pos="720"/>
              </w:tabs>
              <w:ind w:right="-450"/>
              <w:jc w:val="both"/>
            </w:pPr>
            <w:r w:rsidRPr="004043ED">
              <w:t>Non-current</w:t>
            </w:r>
            <w:r>
              <w:t xml:space="preserve"> liabilities</w:t>
            </w:r>
          </w:p>
        </w:tc>
        <w:tc>
          <w:tcPr>
            <w:tcW w:w="1472" w:type="dxa"/>
            <w:tcBorders>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548,793</w:t>
            </w:r>
          </w:p>
        </w:tc>
        <w:tc>
          <w:tcPr>
            <w:tcW w:w="1450" w:type="dxa"/>
            <w:tcBorders>
              <w:left w:val="single" w:sz="4" w:space="0" w:color="auto"/>
              <w:bottom w:val="single" w:sz="4" w:space="0" w:color="auto"/>
              <w:right w:val="single" w:sz="4" w:space="0" w:color="auto"/>
            </w:tcBorders>
          </w:tcPr>
          <w:p w:rsidR="004043ED" w:rsidRDefault="004043ED" w:rsidP="00462E37">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548,793</w:t>
            </w:r>
          </w:p>
        </w:tc>
      </w:tr>
      <w:tr w:rsidR="004043ED" w:rsidTr="00462E37">
        <w:tc>
          <w:tcPr>
            <w:tcW w:w="3849" w:type="dxa"/>
            <w:gridSpan w:val="2"/>
            <w:tcBorders>
              <w:right w:val="single" w:sz="4" w:space="0" w:color="auto"/>
            </w:tcBorders>
          </w:tcPr>
          <w:p w:rsidR="004043ED" w:rsidRPr="004043ED" w:rsidRDefault="004043ED" w:rsidP="004043ED">
            <w:pPr>
              <w:tabs>
                <w:tab w:val="left" w:pos="720"/>
              </w:tabs>
              <w:ind w:right="-450"/>
              <w:jc w:val="both"/>
              <w:rPr>
                <w:b/>
              </w:rPr>
            </w:pPr>
            <w:r w:rsidRPr="004043ED">
              <w:rPr>
                <w:b/>
              </w:rPr>
              <w:t xml:space="preserve">Total </w:t>
            </w:r>
            <w:r>
              <w:rPr>
                <w:b/>
              </w:rPr>
              <w:t>liabilities</w:t>
            </w:r>
          </w:p>
        </w:tc>
        <w:tc>
          <w:tcPr>
            <w:tcW w:w="1472" w:type="dxa"/>
            <w:tcBorders>
              <w:top w:val="single" w:sz="4" w:space="0" w:color="auto"/>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1,817,878</w:t>
            </w:r>
          </w:p>
        </w:tc>
        <w:tc>
          <w:tcPr>
            <w:tcW w:w="1450" w:type="dxa"/>
            <w:tcBorders>
              <w:top w:val="single" w:sz="4" w:space="0" w:color="auto"/>
              <w:left w:val="single" w:sz="4" w:space="0" w:color="auto"/>
              <w:bottom w:val="single" w:sz="4" w:space="0" w:color="auto"/>
              <w:right w:val="single" w:sz="4" w:space="0" w:color="auto"/>
            </w:tcBorders>
          </w:tcPr>
          <w:p w:rsidR="004043ED" w:rsidRDefault="004043ED" w:rsidP="00462E37">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4043ED" w:rsidRDefault="004043ED" w:rsidP="004043ED">
            <w:pPr>
              <w:tabs>
                <w:tab w:val="left" w:pos="720"/>
              </w:tabs>
              <w:ind w:right="-450"/>
            </w:pPr>
            <w:r>
              <w:t xml:space="preserve">   1,817,878</w:t>
            </w:r>
          </w:p>
        </w:tc>
      </w:tr>
      <w:tr w:rsidR="004043ED" w:rsidTr="00462E37">
        <w:tc>
          <w:tcPr>
            <w:tcW w:w="3849" w:type="dxa"/>
            <w:gridSpan w:val="2"/>
            <w:tcBorders>
              <w:right w:val="single" w:sz="4" w:space="0" w:color="auto"/>
            </w:tcBorders>
          </w:tcPr>
          <w:p w:rsidR="004043ED" w:rsidRDefault="004043ED" w:rsidP="002F4694">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4043ED" w:rsidRDefault="004043ED" w:rsidP="0021213C">
            <w:pPr>
              <w:tabs>
                <w:tab w:val="left" w:pos="720"/>
              </w:tabs>
              <w:ind w:right="-450"/>
              <w:jc w:val="center"/>
            </w:pPr>
          </w:p>
        </w:tc>
        <w:tc>
          <w:tcPr>
            <w:tcW w:w="1450" w:type="dxa"/>
            <w:tcBorders>
              <w:top w:val="single" w:sz="4" w:space="0" w:color="auto"/>
              <w:left w:val="single" w:sz="4" w:space="0" w:color="auto"/>
              <w:right w:val="single" w:sz="4" w:space="0" w:color="auto"/>
            </w:tcBorders>
          </w:tcPr>
          <w:p w:rsidR="004043ED" w:rsidRDefault="004043ED" w:rsidP="0021213C">
            <w:pPr>
              <w:tabs>
                <w:tab w:val="left" w:pos="720"/>
              </w:tabs>
              <w:ind w:right="-450"/>
              <w:jc w:val="center"/>
            </w:pPr>
          </w:p>
        </w:tc>
        <w:tc>
          <w:tcPr>
            <w:tcW w:w="1275" w:type="dxa"/>
            <w:tcBorders>
              <w:top w:val="single" w:sz="4" w:space="0" w:color="auto"/>
              <w:left w:val="single" w:sz="4" w:space="0" w:color="auto"/>
              <w:right w:val="single" w:sz="4" w:space="0" w:color="auto"/>
            </w:tcBorders>
          </w:tcPr>
          <w:p w:rsidR="004043ED" w:rsidRDefault="004043ED" w:rsidP="0021213C">
            <w:pPr>
              <w:ind w:right="-450"/>
              <w:jc w:val="center"/>
            </w:pPr>
          </w:p>
        </w:tc>
      </w:tr>
      <w:tr w:rsidR="004043ED" w:rsidTr="00462E37">
        <w:tc>
          <w:tcPr>
            <w:tcW w:w="3849" w:type="dxa"/>
            <w:gridSpan w:val="2"/>
            <w:tcBorders>
              <w:right w:val="single" w:sz="4" w:space="0" w:color="auto"/>
            </w:tcBorders>
          </w:tcPr>
          <w:p w:rsidR="004043ED" w:rsidRPr="00625F81" w:rsidRDefault="004043ED" w:rsidP="002F4694">
            <w:pPr>
              <w:tabs>
                <w:tab w:val="left" w:pos="720"/>
              </w:tabs>
              <w:ind w:right="-450"/>
              <w:jc w:val="both"/>
              <w:rPr>
                <w:b/>
                <w:u w:val="single"/>
              </w:rPr>
            </w:pPr>
            <w:r>
              <w:rPr>
                <w:b/>
                <w:u w:val="single"/>
              </w:rPr>
              <w:t>Equity</w:t>
            </w:r>
          </w:p>
        </w:tc>
        <w:tc>
          <w:tcPr>
            <w:tcW w:w="1472" w:type="dxa"/>
            <w:tcBorders>
              <w:left w:val="single" w:sz="4" w:space="0" w:color="auto"/>
              <w:right w:val="single" w:sz="4" w:space="0" w:color="auto"/>
            </w:tcBorders>
          </w:tcPr>
          <w:p w:rsidR="004043ED" w:rsidRDefault="004043ED" w:rsidP="0021213C">
            <w:pPr>
              <w:tabs>
                <w:tab w:val="left" w:pos="720"/>
              </w:tabs>
              <w:ind w:right="-450"/>
              <w:jc w:val="center"/>
            </w:pPr>
          </w:p>
        </w:tc>
        <w:tc>
          <w:tcPr>
            <w:tcW w:w="1450" w:type="dxa"/>
            <w:tcBorders>
              <w:left w:val="single" w:sz="4" w:space="0" w:color="auto"/>
              <w:right w:val="single" w:sz="4" w:space="0" w:color="auto"/>
            </w:tcBorders>
          </w:tcPr>
          <w:p w:rsidR="004043ED" w:rsidRDefault="004043ED" w:rsidP="0021213C">
            <w:pPr>
              <w:tabs>
                <w:tab w:val="left" w:pos="720"/>
              </w:tabs>
              <w:ind w:right="-450"/>
              <w:jc w:val="center"/>
            </w:pPr>
          </w:p>
        </w:tc>
        <w:tc>
          <w:tcPr>
            <w:tcW w:w="1275" w:type="dxa"/>
            <w:tcBorders>
              <w:left w:val="single" w:sz="4" w:space="0" w:color="auto"/>
              <w:right w:val="single" w:sz="4" w:space="0" w:color="auto"/>
            </w:tcBorders>
          </w:tcPr>
          <w:p w:rsidR="004043ED" w:rsidRDefault="004043ED" w:rsidP="0021213C">
            <w:pPr>
              <w:ind w:right="-450"/>
              <w:jc w:val="center"/>
            </w:pP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Share capital</w:t>
            </w:r>
          </w:p>
        </w:tc>
        <w:tc>
          <w:tcPr>
            <w:tcW w:w="1472" w:type="dxa"/>
            <w:tcBorders>
              <w:left w:val="single" w:sz="4" w:space="0" w:color="auto"/>
              <w:right w:val="single" w:sz="4" w:space="0" w:color="auto"/>
            </w:tcBorders>
          </w:tcPr>
          <w:p w:rsidR="00462E37" w:rsidRDefault="00462E37" w:rsidP="00462E37">
            <w:pPr>
              <w:tabs>
                <w:tab w:val="left" w:pos="720"/>
              </w:tabs>
              <w:ind w:right="-450"/>
            </w:pPr>
            <w:r>
              <w:t xml:space="preserve">          570,050</w:t>
            </w:r>
          </w:p>
        </w:tc>
        <w:tc>
          <w:tcPr>
            <w:tcW w:w="1450" w:type="dxa"/>
            <w:tcBorders>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right w:val="single" w:sz="4" w:space="0" w:color="auto"/>
            </w:tcBorders>
          </w:tcPr>
          <w:p w:rsidR="00462E37" w:rsidRDefault="00462E37" w:rsidP="00462E37">
            <w:pPr>
              <w:tabs>
                <w:tab w:val="left" w:pos="720"/>
              </w:tabs>
              <w:ind w:right="-450"/>
            </w:pPr>
            <w:r>
              <w:t xml:space="preserve">      570,050</w:t>
            </w: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Equity portion of RCSLS</w:t>
            </w:r>
          </w:p>
        </w:tc>
        <w:tc>
          <w:tcPr>
            <w:tcW w:w="1472" w:type="dxa"/>
            <w:tcBorders>
              <w:left w:val="single" w:sz="4" w:space="0" w:color="auto"/>
              <w:right w:val="single" w:sz="4" w:space="0" w:color="auto"/>
            </w:tcBorders>
          </w:tcPr>
          <w:p w:rsidR="00462E37" w:rsidRDefault="00462E37" w:rsidP="0021213C">
            <w:pPr>
              <w:tabs>
                <w:tab w:val="left" w:pos="720"/>
              </w:tabs>
              <w:ind w:right="-450"/>
              <w:jc w:val="center"/>
            </w:pPr>
            <w:r>
              <w:t>68,655</w:t>
            </w:r>
          </w:p>
        </w:tc>
        <w:tc>
          <w:tcPr>
            <w:tcW w:w="1450" w:type="dxa"/>
            <w:tcBorders>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right w:val="single" w:sz="4" w:space="0" w:color="auto"/>
            </w:tcBorders>
          </w:tcPr>
          <w:p w:rsidR="00462E37" w:rsidRDefault="00462E37" w:rsidP="00462E37">
            <w:pPr>
              <w:ind w:right="-450"/>
            </w:pPr>
            <w:r>
              <w:t xml:space="preserve">        68,655</w:t>
            </w:r>
          </w:p>
        </w:tc>
      </w:tr>
      <w:tr w:rsidR="004043ED" w:rsidTr="00462E37">
        <w:tc>
          <w:tcPr>
            <w:tcW w:w="3849" w:type="dxa"/>
            <w:gridSpan w:val="2"/>
            <w:tcBorders>
              <w:right w:val="single" w:sz="4" w:space="0" w:color="auto"/>
            </w:tcBorders>
          </w:tcPr>
          <w:p w:rsidR="004043ED" w:rsidRDefault="004043ED" w:rsidP="00D36F6D">
            <w:pPr>
              <w:tabs>
                <w:tab w:val="left" w:pos="720"/>
              </w:tabs>
              <w:ind w:right="-450"/>
              <w:jc w:val="both"/>
            </w:pPr>
            <w:r>
              <w:t>Foreign currenc</w:t>
            </w:r>
            <w:r w:rsidR="00D36F6D">
              <w:t>y</w:t>
            </w:r>
            <w:r>
              <w:t xml:space="preserve"> translation reserves</w:t>
            </w:r>
          </w:p>
        </w:tc>
        <w:tc>
          <w:tcPr>
            <w:tcW w:w="1472" w:type="dxa"/>
            <w:tcBorders>
              <w:left w:val="single" w:sz="4" w:space="0" w:color="auto"/>
              <w:right w:val="single" w:sz="4" w:space="0" w:color="auto"/>
            </w:tcBorders>
          </w:tcPr>
          <w:p w:rsidR="004043ED" w:rsidRDefault="004043ED" w:rsidP="0021213C">
            <w:pPr>
              <w:tabs>
                <w:tab w:val="left" w:pos="720"/>
              </w:tabs>
              <w:ind w:right="-450"/>
              <w:jc w:val="center"/>
            </w:pPr>
            <w:r>
              <w:t>(43,459)</w:t>
            </w:r>
          </w:p>
        </w:tc>
        <w:tc>
          <w:tcPr>
            <w:tcW w:w="1450" w:type="dxa"/>
            <w:tcBorders>
              <w:left w:val="single" w:sz="4" w:space="0" w:color="auto"/>
              <w:right w:val="single" w:sz="4" w:space="0" w:color="auto"/>
            </w:tcBorders>
          </w:tcPr>
          <w:p w:rsidR="004043ED" w:rsidRDefault="004043ED" w:rsidP="0021213C">
            <w:pPr>
              <w:tabs>
                <w:tab w:val="left" w:pos="720"/>
              </w:tabs>
              <w:ind w:right="-450"/>
              <w:jc w:val="center"/>
            </w:pPr>
            <w:r>
              <w:t>43,459</w:t>
            </w:r>
          </w:p>
        </w:tc>
        <w:tc>
          <w:tcPr>
            <w:tcW w:w="1275" w:type="dxa"/>
            <w:tcBorders>
              <w:left w:val="single" w:sz="4" w:space="0" w:color="auto"/>
              <w:right w:val="single" w:sz="4" w:space="0" w:color="auto"/>
            </w:tcBorders>
          </w:tcPr>
          <w:p w:rsidR="004043ED" w:rsidRDefault="004043ED" w:rsidP="0021213C">
            <w:pPr>
              <w:ind w:right="-450"/>
              <w:jc w:val="center"/>
            </w:pPr>
            <w:r>
              <w:t>-</w:t>
            </w: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Capital reserves</w:t>
            </w:r>
          </w:p>
        </w:tc>
        <w:tc>
          <w:tcPr>
            <w:tcW w:w="1472" w:type="dxa"/>
            <w:tcBorders>
              <w:left w:val="single" w:sz="4" w:space="0" w:color="auto"/>
              <w:right w:val="single" w:sz="4" w:space="0" w:color="auto"/>
            </w:tcBorders>
          </w:tcPr>
          <w:p w:rsidR="00462E37" w:rsidRDefault="00462E37" w:rsidP="0021213C">
            <w:pPr>
              <w:tabs>
                <w:tab w:val="left" w:pos="720"/>
              </w:tabs>
              <w:ind w:right="-450"/>
              <w:jc w:val="center"/>
            </w:pPr>
            <w:r>
              <w:t xml:space="preserve"> 4,084</w:t>
            </w:r>
          </w:p>
        </w:tc>
        <w:tc>
          <w:tcPr>
            <w:tcW w:w="1450" w:type="dxa"/>
            <w:tcBorders>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right w:val="single" w:sz="4" w:space="0" w:color="auto"/>
            </w:tcBorders>
          </w:tcPr>
          <w:p w:rsidR="00462E37" w:rsidRDefault="00462E37" w:rsidP="00462E37">
            <w:pPr>
              <w:ind w:right="-450"/>
            </w:pPr>
            <w:r>
              <w:t xml:space="preserve">          4,084</w:t>
            </w: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Asset revaluation reserves</w:t>
            </w:r>
          </w:p>
        </w:tc>
        <w:tc>
          <w:tcPr>
            <w:tcW w:w="1472" w:type="dxa"/>
            <w:tcBorders>
              <w:left w:val="single" w:sz="4" w:space="0" w:color="auto"/>
              <w:right w:val="single" w:sz="4" w:space="0" w:color="auto"/>
            </w:tcBorders>
          </w:tcPr>
          <w:p w:rsidR="00462E37" w:rsidRDefault="00462E37" w:rsidP="00462E37">
            <w:pPr>
              <w:tabs>
                <w:tab w:val="left" w:pos="720"/>
              </w:tabs>
              <w:ind w:right="-450"/>
            </w:pPr>
            <w:r>
              <w:t xml:space="preserve">          239,493</w:t>
            </w:r>
          </w:p>
        </w:tc>
        <w:tc>
          <w:tcPr>
            <w:tcW w:w="1450" w:type="dxa"/>
            <w:tcBorders>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right w:val="single" w:sz="4" w:space="0" w:color="auto"/>
            </w:tcBorders>
          </w:tcPr>
          <w:p w:rsidR="00462E37" w:rsidRDefault="00462E37" w:rsidP="00462E37">
            <w:pPr>
              <w:ind w:right="-450"/>
            </w:pPr>
            <w:r>
              <w:t xml:space="preserve">      239,493</w:t>
            </w:r>
          </w:p>
        </w:tc>
      </w:tr>
      <w:tr w:rsidR="004043ED" w:rsidTr="00462E37">
        <w:tc>
          <w:tcPr>
            <w:tcW w:w="3849" w:type="dxa"/>
            <w:gridSpan w:val="2"/>
            <w:tcBorders>
              <w:right w:val="single" w:sz="4" w:space="0" w:color="auto"/>
            </w:tcBorders>
          </w:tcPr>
          <w:p w:rsidR="004043ED" w:rsidRDefault="004043ED" w:rsidP="002F4694">
            <w:pPr>
              <w:tabs>
                <w:tab w:val="left" w:pos="720"/>
              </w:tabs>
              <w:ind w:right="-450"/>
              <w:jc w:val="both"/>
            </w:pPr>
            <w:r>
              <w:t>Retained earnings</w:t>
            </w:r>
          </w:p>
        </w:tc>
        <w:tc>
          <w:tcPr>
            <w:tcW w:w="1472" w:type="dxa"/>
            <w:tcBorders>
              <w:left w:val="single" w:sz="4" w:space="0" w:color="auto"/>
              <w:bottom w:val="single" w:sz="4" w:space="0" w:color="auto"/>
              <w:right w:val="single" w:sz="4" w:space="0" w:color="auto"/>
            </w:tcBorders>
          </w:tcPr>
          <w:p w:rsidR="004043ED" w:rsidRDefault="004043ED" w:rsidP="0021213C">
            <w:pPr>
              <w:tabs>
                <w:tab w:val="left" w:pos="720"/>
              </w:tabs>
              <w:ind w:right="-450"/>
              <w:jc w:val="center"/>
            </w:pPr>
            <w:r>
              <w:t>15,381</w:t>
            </w:r>
          </w:p>
        </w:tc>
        <w:tc>
          <w:tcPr>
            <w:tcW w:w="1450" w:type="dxa"/>
            <w:tcBorders>
              <w:left w:val="single" w:sz="4" w:space="0" w:color="auto"/>
              <w:bottom w:val="single" w:sz="4" w:space="0" w:color="auto"/>
              <w:right w:val="single" w:sz="4" w:space="0" w:color="auto"/>
            </w:tcBorders>
          </w:tcPr>
          <w:p w:rsidR="004043ED" w:rsidRDefault="004043ED" w:rsidP="0021213C">
            <w:pPr>
              <w:tabs>
                <w:tab w:val="left" w:pos="720"/>
              </w:tabs>
              <w:ind w:right="-450"/>
              <w:jc w:val="center"/>
            </w:pPr>
            <w:r>
              <w:t>(43,459)</w:t>
            </w:r>
          </w:p>
        </w:tc>
        <w:tc>
          <w:tcPr>
            <w:tcW w:w="1275" w:type="dxa"/>
            <w:tcBorders>
              <w:left w:val="single" w:sz="4" w:space="0" w:color="auto"/>
              <w:bottom w:val="single" w:sz="4" w:space="0" w:color="auto"/>
              <w:right w:val="single" w:sz="4" w:space="0" w:color="auto"/>
            </w:tcBorders>
          </w:tcPr>
          <w:p w:rsidR="004043ED" w:rsidRDefault="00462E37" w:rsidP="00462E37">
            <w:pPr>
              <w:ind w:right="-450"/>
            </w:pPr>
            <w:r>
              <w:t xml:space="preserve">       </w:t>
            </w:r>
            <w:r w:rsidR="004043ED">
              <w:t>(28,078)</w:t>
            </w:r>
          </w:p>
        </w:tc>
      </w:tr>
      <w:tr w:rsidR="00462E37" w:rsidTr="00462E37">
        <w:tc>
          <w:tcPr>
            <w:tcW w:w="3849" w:type="dxa"/>
            <w:gridSpan w:val="2"/>
            <w:tcBorders>
              <w:right w:val="single" w:sz="4" w:space="0" w:color="auto"/>
            </w:tcBorders>
          </w:tcPr>
          <w:p w:rsidR="00462E37" w:rsidRPr="00462E37" w:rsidRDefault="00462E37" w:rsidP="002F4694">
            <w:pPr>
              <w:tabs>
                <w:tab w:val="left" w:pos="720"/>
              </w:tabs>
              <w:ind w:right="-450"/>
              <w:jc w:val="both"/>
              <w:rPr>
                <w:b/>
              </w:rPr>
            </w:pPr>
            <w:r w:rsidRPr="00462E37">
              <w:rPr>
                <w:b/>
              </w:rPr>
              <w:t>Equity attributable to owners of the parent</w:t>
            </w:r>
          </w:p>
        </w:tc>
        <w:tc>
          <w:tcPr>
            <w:tcW w:w="1472" w:type="dxa"/>
            <w:tcBorders>
              <w:top w:val="single" w:sz="4" w:space="0" w:color="auto"/>
              <w:left w:val="single" w:sz="4" w:space="0" w:color="auto"/>
              <w:right w:val="single" w:sz="4" w:space="0" w:color="auto"/>
            </w:tcBorders>
          </w:tcPr>
          <w:p w:rsidR="00462E37" w:rsidRDefault="00462E37" w:rsidP="00462E37">
            <w:pPr>
              <w:tabs>
                <w:tab w:val="left" w:pos="720"/>
              </w:tabs>
              <w:ind w:right="-450"/>
            </w:pPr>
            <w:r>
              <w:t xml:space="preserve">          854,204</w:t>
            </w:r>
          </w:p>
        </w:tc>
        <w:tc>
          <w:tcPr>
            <w:tcW w:w="1450" w:type="dxa"/>
            <w:tcBorders>
              <w:top w:val="single" w:sz="4" w:space="0" w:color="auto"/>
              <w:left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top w:val="single" w:sz="4" w:space="0" w:color="auto"/>
              <w:left w:val="single" w:sz="4" w:space="0" w:color="auto"/>
              <w:right w:val="single" w:sz="4" w:space="0" w:color="auto"/>
            </w:tcBorders>
          </w:tcPr>
          <w:p w:rsidR="00462E37" w:rsidRDefault="00462E37" w:rsidP="00462E37">
            <w:pPr>
              <w:tabs>
                <w:tab w:val="left" w:pos="720"/>
              </w:tabs>
              <w:ind w:right="-450"/>
            </w:pPr>
            <w:r>
              <w:t xml:space="preserve">      854,204</w:t>
            </w:r>
          </w:p>
        </w:tc>
      </w:tr>
      <w:tr w:rsidR="00462E37" w:rsidTr="00462E37">
        <w:tc>
          <w:tcPr>
            <w:tcW w:w="3849" w:type="dxa"/>
            <w:gridSpan w:val="2"/>
            <w:tcBorders>
              <w:right w:val="single" w:sz="4" w:space="0" w:color="auto"/>
            </w:tcBorders>
          </w:tcPr>
          <w:p w:rsidR="00462E37" w:rsidRDefault="00462E37" w:rsidP="002F4694">
            <w:pPr>
              <w:tabs>
                <w:tab w:val="left" w:pos="720"/>
              </w:tabs>
              <w:ind w:right="-450"/>
              <w:jc w:val="both"/>
            </w:pPr>
            <w:r>
              <w:t>Non-controlling interests</w:t>
            </w:r>
          </w:p>
        </w:tc>
        <w:tc>
          <w:tcPr>
            <w:tcW w:w="1472" w:type="dxa"/>
            <w:tcBorders>
              <w:left w:val="single" w:sz="4" w:space="0" w:color="auto"/>
              <w:bottom w:val="single" w:sz="4" w:space="0" w:color="auto"/>
              <w:right w:val="single" w:sz="4" w:space="0" w:color="auto"/>
            </w:tcBorders>
          </w:tcPr>
          <w:p w:rsidR="00462E37" w:rsidRDefault="00462E37" w:rsidP="0021213C">
            <w:pPr>
              <w:tabs>
                <w:tab w:val="left" w:pos="720"/>
              </w:tabs>
              <w:ind w:right="-450"/>
              <w:jc w:val="center"/>
            </w:pPr>
            <w:r>
              <w:t>22,856</w:t>
            </w:r>
          </w:p>
        </w:tc>
        <w:tc>
          <w:tcPr>
            <w:tcW w:w="1450" w:type="dxa"/>
            <w:tcBorders>
              <w:left w:val="single" w:sz="4" w:space="0" w:color="auto"/>
              <w:bottom w:val="single" w:sz="4" w:space="0" w:color="auto"/>
              <w:right w:val="single" w:sz="4" w:space="0" w:color="auto"/>
            </w:tcBorders>
          </w:tcPr>
          <w:p w:rsidR="00462E37" w:rsidRDefault="00462E37" w:rsidP="0021213C">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462E37" w:rsidRDefault="00462E37" w:rsidP="00462E37">
            <w:pPr>
              <w:ind w:right="-450"/>
            </w:pPr>
            <w:r>
              <w:t xml:space="preserve">        22,856</w:t>
            </w:r>
          </w:p>
        </w:tc>
      </w:tr>
      <w:tr w:rsidR="00462E37" w:rsidTr="00A13D92">
        <w:tc>
          <w:tcPr>
            <w:tcW w:w="3849" w:type="dxa"/>
            <w:gridSpan w:val="2"/>
            <w:tcBorders>
              <w:right w:val="single" w:sz="4" w:space="0" w:color="auto"/>
            </w:tcBorders>
          </w:tcPr>
          <w:p w:rsidR="00462E37" w:rsidRPr="00EF3FE0" w:rsidRDefault="00EF3FE0" w:rsidP="002F4694">
            <w:pPr>
              <w:tabs>
                <w:tab w:val="left" w:pos="720"/>
              </w:tabs>
              <w:ind w:right="-450"/>
              <w:jc w:val="both"/>
              <w:rPr>
                <w:b/>
              </w:rPr>
            </w:pPr>
            <w:r w:rsidRPr="00EF3FE0">
              <w:rPr>
                <w:b/>
              </w:rPr>
              <w:t>Total equity</w:t>
            </w:r>
          </w:p>
        </w:tc>
        <w:tc>
          <w:tcPr>
            <w:tcW w:w="1472" w:type="dxa"/>
            <w:tcBorders>
              <w:top w:val="single" w:sz="4" w:space="0" w:color="auto"/>
              <w:left w:val="single" w:sz="4" w:space="0" w:color="auto"/>
              <w:bottom w:val="single" w:sz="4" w:space="0" w:color="auto"/>
              <w:right w:val="single" w:sz="4" w:space="0" w:color="auto"/>
            </w:tcBorders>
          </w:tcPr>
          <w:p w:rsidR="00462E37" w:rsidRDefault="00462E37" w:rsidP="00462E37">
            <w:pPr>
              <w:tabs>
                <w:tab w:val="left" w:pos="720"/>
              </w:tabs>
              <w:ind w:right="-450"/>
            </w:pPr>
            <w:r>
              <w:t xml:space="preserve">          877,060</w:t>
            </w:r>
          </w:p>
        </w:tc>
        <w:tc>
          <w:tcPr>
            <w:tcW w:w="1450" w:type="dxa"/>
            <w:tcBorders>
              <w:top w:val="single" w:sz="4" w:space="0" w:color="auto"/>
              <w:left w:val="single" w:sz="4" w:space="0" w:color="auto"/>
              <w:bottom w:val="single" w:sz="4" w:space="0" w:color="auto"/>
              <w:right w:val="single" w:sz="4" w:space="0" w:color="auto"/>
            </w:tcBorders>
          </w:tcPr>
          <w:p w:rsidR="00462E37" w:rsidRDefault="00EF3FE0" w:rsidP="0021213C">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462E37" w:rsidRDefault="00462E37" w:rsidP="00462E37">
            <w:pPr>
              <w:tabs>
                <w:tab w:val="left" w:pos="720"/>
              </w:tabs>
              <w:ind w:right="-450"/>
            </w:pPr>
            <w:r>
              <w:t xml:space="preserve">      877,060</w:t>
            </w:r>
          </w:p>
        </w:tc>
      </w:tr>
      <w:tr w:rsidR="00EF3FE0" w:rsidTr="00A13D92">
        <w:tc>
          <w:tcPr>
            <w:tcW w:w="3849" w:type="dxa"/>
            <w:gridSpan w:val="2"/>
            <w:tcBorders>
              <w:right w:val="single" w:sz="4" w:space="0" w:color="auto"/>
            </w:tcBorders>
          </w:tcPr>
          <w:p w:rsidR="00EF3FE0" w:rsidRDefault="00EF3FE0" w:rsidP="002F4694">
            <w:pPr>
              <w:tabs>
                <w:tab w:val="left" w:pos="720"/>
              </w:tabs>
              <w:ind w:right="-450"/>
              <w:jc w:val="both"/>
              <w:rPr>
                <w:b/>
              </w:rPr>
            </w:pPr>
          </w:p>
          <w:p w:rsidR="00EF3FE0" w:rsidRPr="00EF3FE0" w:rsidRDefault="00EF3FE0" w:rsidP="002F4694">
            <w:pPr>
              <w:tabs>
                <w:tab w:val="left" w:pos="720"/>
              </w:tabs>
              <w:ind w:right="-450"/>
              <w:jc w:val="both"/>
              <w:rPr>
                <w:b/>
              </w:rPr>
            </w:pPr>
            <w:r>
              <w:rPr>
                <w:b/>
              </w:rPr>
              <w:t>Total equity and liabilities</w:t>
            </w:r>
          </w:p>
        </w:tc>
        <w:tc>
          <w:tcPr>
            <w:tcW w:w="1472" w:type="dxa"/>
            <w:tcBorders>
              <w:top w:val="single" w:sz="4" w:space="0" w:color="auto"/>
              <w:left w:val="single" w:sz="4" w:space="0" w:color="auto"/>
              <w:bottom w:val="single" w:sz="12" w:space="0" w:color="auto"/>
              <w:right w:val="single" w:sz="4" w:space="0" w:color="auto"/>
            </w:tcBorders>
          </w:tcPr>
          <w:p w:rsidR="00EF3FE0" w:rsidRDefault="00EF3FE0" w:rsidP="00462E37">
            <w:pPr>
              <w:tabs>
                <w:tab w:val="left" w:pos="720"/>
              </w:tabs>
              <w:ind w:right="-450"/>
            </w:pPr>
          </w:p>
          <w:p w:rsidR="00EF3FE0" w:rsidRDefault="00EF3FE0" w:rsidP="00462E37">
            <w:pPr>
              <w:tabs>
                <w:tab w:val="left" w:pos="720"/>
              </w:tabs>
              <w:ind w:right="-450"/>
            </w:pPr>
            <w:r>
              <w:t xml:space="preserve">       2,694,938</w:t>
            </w:r>
          </w:p>
        </w:tc>
        <w:tc>
          <w:tcPr>
            <w:tcW w:w="1450" w:type="dxa"/>
            <w:tcBorders>
              <w:top w:val="single" w:sz="4" w:space="0" w:color="auto"/>
              <w:left w:val="single" w:sz="4" w:space="0" w:color="auto"/>
              <w:bottom w:val="single" w:sz="12" w:space="0" w:color="auto"/>
              <w:right w:val="single" w:sz="4" w:space="0" w:color="auto"/>
            </w:tcBorders>
          </w:tcPr>
          <w:p w:rsidR="00EF3FE0" w:rsidRDefault="00EF3FE0" w:rsidP="0021213C">
            <w:pPr>
              <w:tabs>
                <w:tab w:val="left" w:pos="720"/>
              </w:tabs>
              <w:ind w:right="-450"/>
              <w:jc w:val="center"/>
            </w:pPr>
          </w:p>
          <w:p w:rsidR="00EF3FE0" w:rsidRDefault="00EF3FE0" w:rsidP="0021213C">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EF3FE0" w:rsidRDefault="00EF3FE0" w:rsidP="009B4F28">
            <w:pPr>
              <w:tabs>
                <w:tab w:val="left" w:pos="720"/>
              </w:tabs>
              <w:ind w:right="-450"/>
            </w:pPr>
          </w:p>
          <w:p w:rsidR="00EF3FE0" w:rsidRDefault="00EF3FE0" w:rsidP="009B4F28">
            <w:pPr>
              <w:tabs>
                <w:tab w:val="left" w:pos="720"/>
              </w:tabs>
              <w:ind w:right="-450"/>
            </w:pPr>
            <w:r>
              <w:t xml:space="preserve">   2,694,938</w:t>
            </w:r>
          </w:p>
        </w:tc>
      </w:tr>
    </w:tbl>
    <w:p w:rsidR="002F4694" w:rsidRDefault="002F4694" w:rsidP="009D0FF0">
      <w:pPr>
        <w:autoSpaceDE w:val="0"/>
        <w:autoSpaceDN w:val="0"/>
        <w:adjustRightInd w:val="0"/>
        <w:rPr>
          <w:u w:val="single"/>
        </w:rPr>
      </w:pPr>
    </w:p>
    <w:p w:rsidR="004043ED" w:rsidRDefault="004043ED" w:rsidP="0021213C">
      <w:pPr>
        <w:autoSpaceDE w:val="0"/>
        <w:autoSpaceDN w:val="0"/>
        <w:adjustRightInd w:val="0"/>
        <w:ind w:left="720"/>
        <w:rPr>
          <w:u w:val="single"/>
        </w:rPr>
      </w:pPr>
    </w:p>
    <w:p w:rsidR="0021213C" w:rsidRDefault="0021213C" w:rsidP="0021213C">
      <w:pPr>
        <w:autoSpaceDE w:val="0"/>
        <w:autoSpaceDN w:val="0"/>
        <w:adjustRightInd w:val="0"/>
        <w:ind w:left="720"/>
        <w:rPr>
          <w:u w:val="single"/>
        </w:rPr>
      </w:pPr>
      <w:r>
        <w:rPr>
          <w:u w:val="single"/>
        </w:rPr>
        <w:t>Reconciliation of equity as at 3</w:t>
      </w:r>
      <w:r w:rsidR="00EC5651">
        <w:rPr>
          <w:u w:val="single"/>
        </w:rPr>
        <w:t>0</w:t>
      </w:r>
      <w:r>
        <w:rPr>
          <w:u w:val="single"/>
        </w:rPr>
        <w:t xml:space="preserve"> </w:t>
      </w:r>
      <w:r w:rsidR="00EC5651">
        <w:rPr>
          <w:u w:val="single"/>
        </w:rPr>
        <w:t>June</w:t>
      </w:r>
      <w:r>
        <w:rPr>
          <w:u w:val="single"/>
        </w:rPr>
        <w:t xml:space="preserve"> 2011</w:t>
      </w:r>
    </w:p>
    <w:p w:rsidR="00BB00EB" w:rsidRDefault="00BB00EB" w:rsidP="0021213C">
      <w:pPr>
        <w:autoSpaceDE w:val="0"/>
        <w:autoSpaceDN w:val="0"/>
        <w:adjustRightInd w:val="0"/>
        <w:ind w:left="720"/>
        <w:rPr>
          <w:u w:val="single"/>
        </w:rPr>
      </w:pPr>
    </w:p>
    <w:tbl>
      <w:tblPr>
        <w:tblW w:w="8046" w:type="dxa"/>
        <w:tblInd w:w="1368" w:type="dxa"/>
        <w:tblLook w:val="01E0"/>
      </w:tblPr>
      <w:tblGrid>
        <w:gridCol w:w="90"/>
        <w:gridCol w:w="3759"/>
        <w:gridCol w:w="1472"/>
        <w:gridCol w:w="1450"/>
        <w:gridCol w:w="1275"/>
      </w:tblGrid>
      <w:tr w:rsidR="00BB00EB" w:rsidRPr="00625F81" w:rsidTr="009B4F28">
        <w:trPr>
          <w:gridBefore w:val="1"/>
          <w:wBefore w:w="90" w:type="dxa"/>
        </w:trPr>
        <w:tc>
          <w:tcPr>
            <w:tcW w:w="3759" w:type="dxa"/>
            <w:tcBorders>
              <w:right w:val="single" w:sz="4" w:space="0" w:color="auto"/>
            </w:tcBorders>
          </w:tcPr>
          <w:p w:rsidR="00BB00EB" w:rsidRPr="00625F81" w:rsidRDefault="00BB00EB" w:rsidP="009B4F28">
            <w:pPr>
              <w:tabs>
                <w:tab w:val="left" w:pos="720"/>
              </w:tabs>
              <w:ind w:right="-450"/>
              <w:jc w:val="both"/>
              <w:rPr>
                <w:b/>
              </w:rPr>
            </w:pPr>
          </w:p>
          <w:p w:rsidR="00BB00EB" w:rsidRPr="00625F81" w:rsidRDefault="00BB00EB" w:rsidP="009B4F28">
            <w:pPr>
              <w:tabs>
                <w:tab w:val="left" w:pos="720"/>
              </w:tabs>
              <w:ind w:right="-450"/>
              <w:jc w:val="both"/>
              <w:rPr>
                <w:b/>
              </w:rPr>
            </w:pPr>
          </w:p>
        </w:tc>
        <w:tc>
          <w:tcPr>
            <w:tcW w:w="1472" w:type="dxa"/>
            <w:tcBorders>
              <w:top w:val="single" w:sz="4" w:space="0" w:color="auto"/>
              <w:left w:val="single" w:sz="4" w:space="0" w:color="auto"/>
              <w:bottom w:val="single" w:sz="4" w:space="0" w:color="auto"/>
              <w:right w:val="single" w:sz="4" w:space="0" w:color="auto"/>
            </w:tcBorders>
          </w:tcPr>
          <w:p w:rsidR="00BB00EB" w:rsidRDefault="00BB00EB" w:rsidP="009B4F28">
            <w:pPr>
              <w:pStyle w:val="BodyText"/>
              <w:tabs>
                <w:tab w:val="left" w:pos="360"/>
                <w:tab w:val="left" w:pos="540"/>
                <w:tab w:val="left" w:pos="630"/>
                <w:tab w:val="left" w:pos="1080"/>
              </w:tabs>
              <w:ind w:left="-18" w:right="-18"/>
              <w:jc w:val="center"/>
              <w:rPr>
                <w:b/>
                <w:sz w:val="18"/>
              </w:rPr>
            </w:pPr>
            <w:r>
              <w:rPr>
                <w:b/>
                <w:sz w:val="18"/>
              </w:rPr>
              <w:t>FRS as at</w:t>
            </w:r>
          </w:p>
          <w:p w:rsidR="00BB00EB" w:rsidRPr="0024709B" w:rsidRDefault="00BB00EB" w:rsidP="009B4F28">
            <w:pPr>
              <w:pStyle w:val="BodyText"/>
              <w:tabs>
                <w:tab w:val="left" w:pos="360"/>
                <w:tab w:val="left" w:pos="540"/>
                <w:tab w:val="left" w:pos="630"/>
                <w:tab w:val="left" w:pos="1080"/>
              </w:tabs>
              <w:ind w:left="-108" w:right="-108"/>
              <w:jc w:val="center"/>
              <w:rPr>
                <w:b/>
                <w:sz w:val="18"/>
              </w:rPr>
            </w:pPr>
            <w:r>
              <w:rPr>
                <w:b/>
                <w:sz w:val="18"/>
              </w:rPr>
              <w:t>3</w:t>
            </w:r>
            <w:r w:rsidR="00EC5651">
              <w:rPr>
                <w:b/>
                <w:sz w:val="18"/>
              </w:rPr>
              <w:t>0</w:t>
            </w:r>
            <w:r>
              <w:rPr>
                <w:b/>
                <w:sz w:val="18"/>
              </w:rPr>
              <w:t>/</w:t>
            </w:r>
            <w:r w:rsidR="00EC5651">
              <w:rPr>
                <w:b/>
                <w:sz w:val="18"/>
              </w:rPr>
              <w:t>6</w:t>
            </w:r>
            <w:r>
              <w:rPr>
                <w:b/>
                <w:sz w:val="18"/>
              </w:rPr>
              <w:t>/2011</w:t>
            </w:r>
          </w:p>
          <w:p w:rsidR="00BB00EB" w:rsidRPr="00625F81" w:rsidRDefault="00BB00EB" w:rsidP="009B4F28">
            <w:pPr>
              <w:pStyle w:val="BodyText"/>
              <w:tabs>
                <w:tab w:val="left" w:pos="360"/>
                <w:tab w:val="left" w:pos="540"/>
                <w:tab w:val="left" w:pos="630"/>
                <w:tab w:val="left" w:pos="1080"/>
              </w:tabs>
              <w:ind w:left="-18" w:right="-18"/>
              <w:jc w:val="center"/>
              <w:rPr>
                <w:b/>
                <w:sz w:val="18"/>
              </w:rPr>
            </w:pPr>
            <w:r w:rsidRPr="00625F81">
              <w:rPr>
                <w:b/>
                <w:sz w:val="18"/>
              </w:rPr>
              <w:t>RM’000</w:t>
            </w:r>
          </w:p>
        </w:tc>
        <w:tc>
          <w:tcPr>
            <w:tcW w:w="1450" w:type="dxa"/>
            <w:tcBorders>
              <w:top w:val="single" w:sz="4" w:space="0" w:color="auto"/>
              <w:left w:val="single" w:sz="4" w:space="0" w:color="auto"/>
              <w:bottom w:val="single" w:sz="4" w:space="0" w:color="auto"/>
              <w:right w:val="single" w:sz="4" w:space="0" w:color="auto"/>
            </w:tcBorders>
          </w:tcPr>
          <w:p w:rsidR="00BB00EB" w:rsidRDefault="00BB00EB" w:rsidP="009B4F28">
            <w:pPr>
              <w:pStyle w:val="BodyText"/>
              <w:tabs>
                <w:tab w:val="left" w:pos="360"/>
                <w:tab w:val="left" w:pos="540"/>
                <w:tab w:val="left" w:pos="630"/>
                <w:tab w:val="left" w:pos="1080"/>
              </w:tabs>
              <w:ind w:left="-18" w:right="-18"/>
              <w:jc w:val="center"/>
              <w:rPr>
                <w:b/>
                <w:sz w:val="18"/>
              </w:rPr>
            </w:pPr>
          </w:p>
          <w:p w:rsidR="00BB00EB" w:rsidRPr="00625F81" w:rsidRDefault="00BB00EB" w:rsidP="009B4F28">
            <w:pPr>
              <w:pStyle w:val="BodyText"/>
              <w:tabs>
                <w:tab w:val="left" w:pos="360"/>
                <w:tab w:val="left" w:pos="540"/>
                <w:tab w:val="left" w:pos="630"/>
                <w:tab w:val="left" w:pos="1080"/>
              </w:tabs>
              <w:ind w:left="-18" w:right="-18"/>
              <w:jc w:val="center"/>
              <w:rPr>
                <w:b/>
                <w:sz w:val="18"/>
              </w:rPr>
            </w:pPr>
            <w:r>
              <w:rPr>
                <w:b/>
                <w:sz w:val="18"/>
              </w:rPr>
              <w:t>Reclassifications</w:t>
            </w:r>
          </w:p>
          <w:p w:rsidR="00BB00EB" w:rsidRPr="00625F81" w:rsidRDefault="00BB00EB" w:rsidP="009B4F28">
            <w:pPr>
              <w:pStyle w:val="BodyText"/>
              <w:tabs>
                <w:tab w:val="left" w:pos="360"/>
                <w:tab w:val="left" w:pos="540"/>
                <w:tab w:val="left" w:pos="630"/>
                <w:tab w:val="left" w:pos="1080"/>
              </w:tabs>
              <w:ind w:left="-18" w:right="-18"/>
              <w:jc w:val="center"/>
              <w:rPr>
                <w:b/>
                <w:sz w:val="18"/>
              </w:rPr>
            </w:pPr>
            <w:r w:rsidRPr="00625F81">
              <w:rPr>
                <w:b/>
                <w:sz w:val="18"/>
              </w:rPr>
              <w:t>RM’000</w:t>
            </w:r>
          </w:p>
        </w:tc>
        <w:tc>
          <w:tcPr>
            <w:tcW w:w="1275" w:type="dxa"/>
            <w:tcBorders>
              <w:top w:val="single" w:sz="4" w:space="0" w:color="auto"/>
              <w:left w:val="single" w:sz="4" w:space="0" w:color="auto"/>
              <w:bottom w:val="single" w:sz="4" w:space="0" w:color="auto"/>
              <w:right w:val="single" w:sz="4" w:space="0" w:color="auto"/>
            </w:tcBorders>
          </w:tcPr>
          <w:p w:rsidR="00BB00EB" w:rsidRPr="00625F81" w:rsidRDefault="00BB00EB" w:rsidP="009B4F28">
            <w:pPr>
              <w:pStyle w:val="BodyText"/>
              <w:tabs>
                <w:tab w:val="left" w:pos="360"/>
                <w:tab w:val="left" w:pos="540"/>
                <w:tab w:val="left" w:pos="630"/>
                <w:tab w:val="left" w:pos="1080"/>
              </w:tabs>
              <w:ind w:left="-18" w:right="-18"/>
              <w:jc w:val="center"/>
              <w:rPr>
                <w:b/>
                <w:sz w:val="18"/>
              </w:rPr>
            </w:pPr>
            <w:r>
              <w:rPr>
                <w:b/>
                <w:sz w:val="18"/>
              </w:rPr>
              <w:t>MFRS as at</w:t>
            </w:r>
          </w:p>
          <w:p w:rsidR="00BB00EB" w:rsidRPr="00625F81" w:rsidRDefault="00BB00EB" w:rsidP="009B4F28">
            <w:pPr>
              <w:pStyle w:val="BodyText"/>
              <w:tabs>
                <w:tab w:val="left" w:pos="360"/>
                <w:tab w:val="left" w:pos="540"/>
                <w:tab w:val="left" w:pos="630"/>
                <w:tab w:val="left" w:pos="1080"/>
              </w:tabs>
              <w:ind w:left="-18" w:right="-18"/>
              <w:jc w:val="center"/>
              <w:rPr>
                <w:b/>
                <w:sz w:val="18"/>
              </w:rPr>
            </w:pPr>
            <w:r w:rsidRPr="00625F81">
              <w:rPr>
                <w:b/>
                <w:sz w:val="18"/>
              </w:rPr>
              <w:t xml:space="preserve"> </w:t>
            </w:r>
            <w:r>
              <w:rPr>
                <w:b/>
                <w:sz w:val="18"/>
              </w:rPr>
              <w:t>3</w:t>
            </w:r>
            <w:r w:rsidR="0005011F">
              <w:rPr>
                <w:b/>
                <w:sz w:val="18"/>
              </w:rPr>
              <w:t>0</w:t>
            </w:r>
            <w:r>
              <w:rPr>
                <w:b/>
                <w:sz w:val="18"/>
              </w:rPr>
              <w:t>/</w:t>
            </w:r>
            <w:r w:rsidR="0005011F">
              <w:rPr>
                <w:b/>
                <w:sz w:val="18"/>
              </w:rPr>
              <w:t>6</w:t>
            </w:r>
            <w:r>
              <w:rPr>
                <w:b/>
                <w:sz w:val="18"/>
              </w:rPr>
              <w:t>/2011</w:t>
            </w:r>
          </w:p>
          <w:p w:rsidR="00BB00EB" w:rsidRPr="00625F81" w:rsidRDefault="00BB00EB" w:rsidP="009B4F28">
            <w:pPr>
              <w:pStyle w:val="BodyText"/>
              <w:tabs>
                <w:tab w:val="left" w:pos="360"/>
                <w:tab w:val="left" w:pos="540"/>
                <w:tab w:val="left" w:pos="630"/>
                <w:tab w:val="left" w:pos="1080"/>
              </w:tabs>
              <w:ind w:left="-18" w:right="-18"/>
              <w:jc w:val="center"/>
              <w:rPr>
                <w:b/>
                <w:sz w:val="18"/>
              </w:rPr>
            </w:pPr>
            <w:r w:rsidRPr="00625F81">
              <w:rPr>
                <w:b/>
                <w:sz w:val="18"/>
              </w:rPr>
              <w:t>RM’000</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BB00EB" w:rsidRDefault="00BB00EB" w:rsidP="009B4F28">
            <w:pPr>
              <w:tabs>
                <w:tab w:val="left" w:pos="720"/>
              </w:tabs>
              <w:ind w:right="-450"/>
              <w:jc w:val="center"/>
            </w:pPr>
          </w:p>
        </w:tc>
        <w:tc>
          <w:tcPr>
            <w:tcW w:w="1450" w:type="dxa"/>
            <w:tcBorders>
              <w:top w:val="single" w:sz="4" w:space="0" w:color="auto"/>
              <w:left w:val="single" w:sz="4" w:space="0" w:color="auto"/>
              <w:right w:val="single" w:sz="4" w:space="0" w:color="auto"/>
            </w:tcBorders>
          </w:tcPr>
          <w:p w:rsidR="00BB00EB" w:rsidRDefault="00BB00EB" w:rsidP="009B4F28">
            <w:pPr>
              <w:tabs>
                <w:tab w:val="left" w:pos="720"/>
              </w:tabs>
              <w:ind w:right="-450"/>
              <w:jc w:val="center"/>
            </w:pPr>
          </w:p>
        </w:tc>
        <w:tc>
          <w:tcPr>
            <w:tcW w:w="1275" w:type="dxa"/>
            <w:tcBorders>
              <w:top w:val="single" w:sz="4" w:space="0" w:color="auto"/>
              <w:left w:val="single" w:sz="4" w:space="0" w:color="auto"/>
              <w:right w:val="single" w:sz="4" w:space="0" w:color="auto"/>
            </w:tcBorders>
          </w:tcPr>
          <w:p w:rsidR="00BB00EB" w:rsidRDefault="00BB00EB" w:rsidP="009B4F28">
            <w:pPr>
              <w:tabs>
                <w:tab w:val="left" w:pos="720"/>
              </w:tabs>
              <w:ind w:right="-450"/>
            </w:pP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pPr>
            <w:r w:rsidRPr="004043ED">
              <w:t>Non-current assets</w:t>
            </w:r>
          </w:p>
        </w:tc>
        <w:tc>
          <w:tcPr>
            <w:tcW w:w="1472" w:type="dxa"/>
            <w:tcBorders>
              <w:left w:val="single" w:sz="4" w:space="0" w:color="auto"/>
              <w:right w:val="single" w:sz="4" w:space="0" w:color="auto"/>
            </w:tcBorders>
          </w:tcPr>
          <w:p w:rsidR="00BB00EB" w:rsidRDefault="00BB00EB" w:rsidP="00EC5651">
            <w:pPr>
              <w:tabs>
                <w:tab w:val="left" w:pos="720"/>
              </w:tabs>
              <w:ind w:right="-450"/>
            </w:pPr>
            <w:r>
              <w:t xml:space="preserve">        1,</w:t>
            </w:r>
            <w:r w:rsidR="00EC5651">
              <w:t>401</w:t>
            </w:r>
            <w:r>
              <w:t>,</w:t>
            </w:r>
            <w:r w:rsidR="00EC5651">
              <w:t>637</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BB00EB">
            <w:pPr>
              <w:tabs>
                <w:tab w:val="left" w:pos="720"/>
              </w:tabs>
              <w:ind w:right="-450"/>
            </w:pPr>
            <w:r>
              <w:t xml:space="preserve">   </w:t>
            </w:r>
            <w:r w:rsidR="00EC5651">
              <w:t>1,401,637</w:t>
            </w: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pPr>
            <w:r w:rsidRPr="004043ED">
              <w:t>Current assets</w:t>
            </w:r>
          </w:p>
        </w:tc>
        <w:tc>
          <w:tcPr>
            <w:tcW w:w="1472" w:type="dxa"/>
            <w:tcBorders>
              <w:left w:val="single" w:sz="4" w:space="0" w:color="auto"/>
              <w:bottom w:val="single" w:sz="4" w:space="0" w:color="auto"/>
              <w:right w:val="single" w:sz="4" w:space="0" w:color="auto"/>
            </w:tcBorders>
          </w:tcPr>
          <w:p w:rsidR="00BB00EB" w:rsidRDefault="00BB00EB" w:rsidP="00EC5651">
            <w:pPr>
              <w:tabs>
                <w:tab w:val="left" w:pos="720"/>
              </w:tabs>
              <w:ind w:right="-450"/>
            </w:pPr>
            <w:r>
              <w:t xml:space="preserve">        1,5</w:t>
            </w:r>
            <w:r w:rsidR="00EC5651">
              <w:t>65</w:t>
            </w:r>
            <w:r>
              <w:t>,</w:t>
            </w:r>
            <w:r w:rsidR="00EC5651">
              <w:t>328</w:t>
            </w:r>
          </w:p>
        </w:tc>
        <w:tc>
          <w:tcPr>
            <w:tcW w:w="1450" w:type="dxa"/>
            <w:tcBorders>
              <w:left w:val="single" w:sz="4" w:space="0" w:color="auto"/>
              <w:bottom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BB00EB" w:rsidRDefault="00BB00EB" w:rsidP="00EC5651">
            <w:pPr>
              <w:tabs>
                <w:tab w:val="left" w:pos="720"/>
              </w:tabs>
              <w:ind w:right="-450"/>
            </w:pPr>
            <w:r>
              <w:t xml:space="preserve">  </w:t>
            </w:r>
            <w:r w:rsidR="00EC5651">
              <w:t xml:space="preserve"> 1,565,328</w:t>
            </w:r>
          </w:p>
        </w:tc>
      </w:tr>
      <w:tr w:rsidR="00EC5651" w:rsidTr="009B4F28">
        <w:tc>
          <w:tcPr>
            <w:tcW w:w="3849" w:type="dxa"/>
            <w:gridSpan w:val="2"/>
            <w:tcBorders>
              <w:right w:val="single" w:sz="4" w:space="0" w:color="auto"/>
            </w:tcBorders>
          </w:tcPr>
          <w:p w:rsidR="00EC5651" w:rsidRPr="004043ED" w:rsidRDefault="00EC5651" w:rsidP="009B4F28">
            <w:pPr>
              <w:tabs>
                <w:tab w:val="left" w:pos="720"/>
              </w:tabs>
              <w:ind w:right="-450"/>
              <w:jc w:val="both"/>
              <w:rPr>
                <w:b/>
              </w:rPr>
            </w:pPr>
            <w:r w:rsidRPr="004043ED">
              <w:rPr>
                <w:b/>
              </w:rPr>
              <w:t>Total assets</w:t>
            </w:r>
          </w:p>
        </w:tc>
        <w:tc>
          <w:tcPr>
            <w:tcW w:w="1472" w:type="dxa"/>
            <w:tcBorders>
              <w:top w:val="single" w:sz="4" w:space="0" w:color="auto"/>
              <w:left w:val="single" w:sz="4" w:space="0" w:color="auto"/>
              <w:bottom w:val="single" w:sz="12" w:space="0" w:color="auto"/>
              <w:right w:val="single" w:sz="4" w:space="0" w:color="auto"/>
            </w:tcBorders>
          </w:tcPr>
          <w:p w:rsidR="00EC5651" w:rsidRDefault="00EC5651" w:rsidP="00BB00EB">
            <w:pPr>
              <w:tabs>
                <w:tab w:val="left" w:pos="720"/>
              </w:tabs>
              <w:ind w:right="-450"/>
            </w:pPr>
            <w:r>
              <w:t xml:space="preserve">        2,966,965</w:t>
            </w:r>
          </w:p>
        </w:tc>
        <w:tc>
          <w:tcPr>
            <w:tcW w:w="1450" w:type="dxa"/>
            <w:tcBorders>
              <w:top w:val="single" w:sz="4" w:space="0" w:color="auto"/>
              <w:left w:val="single" w:sz="4" w:space="0" w:color="auto"/>
              <w:bottom w:val="single" w:sz="12" w:space="0" w:color="auto"/>
              <w:right w:val="single" w:sz="4" w:space="0" w:color="auto"/>
            </w:tcBorders>
          </w:tcPr>
          <w:p w:rsidR="00EC5651" w:rsidRDefault="00EC5651" w:rsidP="009B4F28">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EC5651" w:rsidRDefault="00EC5651" w:rsidP="00EC5651">
            <w:pPr>
              <w:tabs>
                <w:tab w:val="left" w:pos="720"/>
              </w:tabs>
              <w:ind w:right="-450"/>
            </w:pPr>
            <w:r>
              <w:t xml:space="preserve">   2,966,965</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rPr>
                <w:b/>
                <w:u w:val="single"/>
              </w:rPr>
            </w:pPr>
          </w:p>
        </w:tc>
        <w:tc>
          <w:tcPr>
            <w:tcW w:w="1472" w:type="dxa"/>
            <w:tcBorders>
              <w:top w:val="single" w:sz="12" w:space="0" w:color="auto"/>
              <w:left w:val="single" w:sz="4" w:space="0" w:color="auto"/>
              <w:right w:val="single" w:sz="4" w:space="0" w:color="auto"/>
            </w:tcBorders>
          </w:tcPr>
          <w:p w:rsidR="00BB00EB" w:rsidRDefault="00BB00EB" w:rsidP="009B4F28">
            <w:pPr>
              <w:tabs>
                <w:tab w:val="left" w:pos="720"/>
              </w:tabs>
              <w:ind w:right="-450"/>
              <w:jc w:val="center"/>
            </w:pPr>
          </w:p>
        </w:tc>
        <w:tc>
          <w:tcPr>
            <w:tcW w:w="1450" w:type="dxa"/>
            <w:tcBorders>
              <w:top w:val="single" w:sz="12" w:space="0" w:color="auto"/>
              <w:left w:val="single" w:sz="4" w:space="0" w:color="auto"/>
              <w:right w:val="single" w:sz="4" w:space="0" w:color="auto"/>
            </w:tcBorders>
          </w:tcPr>
          <w:p w:rsidR="00BB00EB" w:rsidRDefault="00BB00EB" w:rsidP="009B4F28">
            <w:pPr>
              <w:tabs>
                <w:tab w:val="left" w:pos="720"/>
              </w:tabs>
              <w:ind w:right="-450"/>
              <w:jc w:val="center"/>
            </w:pPr>
          </w:p>
        </w:tc>
        <w:tc>
          <w:tcPr>
            <w:tcW w:w="1275" w:type="dxa"/>
            <w:tcBorders>
              <w:top w:val="single" w:sz="12" w:space="0" w:color="auto"/>
              <w:left w:val="single" w:sz="4" w:space="0" w:color="auto"/>
              <w:right w:val="single" w:sz="4" w:space="0" w:color="auto"/>
            </w:tcBorders>
          </w:tcPr>
          <w:p w:rsidR="00BB00EB" w:rsidRDefault="00BB00EB" w:rsidP="009B4F28">
            <w:pPr>
              <w:tabs>
                <w:tab w:val="left" w:pos="720"/>
              </w:tabs>
              <w:ind w:right="-450"/>
              <w:jc w:val="center"/>
            </w:pP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pPr>
            <w:r w:rsidRPr="004043ED">
              <w:t xml:space="preserve">Current </w:t>
            </w:r>
            <w:r>
              <w:t>liabilities</w:t>
            </w:r>
          </w:p>
        </w:tc>
        <w:tc>
          <w:tcPr>
            <w:tcW w:w="1472" w:type="dxa"/>
            <w:tcBorders>
              <w:left w:val="single" w:sz="4" w:space="0" w:color="auto"/>
              <w:right w:val="single" w:sz="4" w:space="0" w:color="auto"/>
            </w:tcBorders>
          </w:tcPr>
          <w:p w:rsidR="00BB00EB" w:rsidRDefault="00BB00EB" w:rsidP="00EC5651">
            <w:pPr>
              <w:tabs>
                <w:tab w:val="left" w:pos="720"/>
              </w:tabs>
              <w:ind w:right="-450"/>
            </w:pPr>
            <w:r>
              <w:t xml:space="preserve">        1,</w:t>
            </w:r>
            <w:r w:rsidR="00EC5651">
              <w:t>342</w:t>
            </w:r>
            <w:r>
              <w:t>,</w:t>
            </w:r>
            <w:r w:rsidR="00EC5651">
              <w:t>919</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BB00EB">
            <w:pPr>
              <w:tabs>
                <w:tab w:val="left" w:pos="720"/>
              </w:tabs>
              <w:ind w:right="-450"/>
            </w:pPr>
            <w:r>
              <w:t xml:space="preserve">   </w:t>
            </w:r>
            <w:r w:rsidR="00EC5651">
              <w:t>1,342,919</w:t>
            </w:r>
          </w:p>
        </w:tc>
      </w:tr>
      <w:tr w:rsidR="00BB00EB" w:rsidTr="009B4F28">
        <w:tc>
          <w:tcPr>
            <w:tcW w:w="3849" w:type="dxa"/>
            <w:gridSpan w:val="2"/>
            <w:tcBorders>
              <w:right w:val="single" w:sz="4" w:space="0" w:color="auto"/>
            </w:tcBorders>
          </w:tcPr>
          <w:p w:rsidR="00BB00EB" w:rsidRPr="004043ED" w:rsidRDefault="00BB00EB" w:rsidP="009B4F28">
            <w:pPr>
              <w:tabs>
                <w:tab w:val="left" w:pos="720"/>
              </w:tabs>
              <w:ind w:right="-450"/>
              <w:jc w:val="both"/>
            </w:pPr>
            <w:r w:rsidRPr="004043ED">
              <w:t>Non-current</w:t>
            </w:r>
            <w:r>
              <w:t xml:space="preserve"> liabilities</w:t>
            </w:r>
          </w:p>
        </w:tc>
        <w:tc>
          <w:tcPr>
            <w:tcW w:w="1472" w:type="dxa"/>
            <w:tcBorders>
              <w:left w:val="single" w:sz="4" w:space="0" w:color="auto"/>
              <w:bottom w:val="single" w:sz="4" w:space="0" w:color="auto"/>
              <w:right w:val="single" w:sz="4" w:space="0" w:color="auto"/>
            </w:tcBorders>
          </w:tcPr>
          <w:p w:rsidR="00BB00EB" w:rsidRDefault="00BB00EB" w:rsidP="00F21116">
            <w:pPr>
              <w:tabs>
                <w:tab w:val="left" w:pos="720"/>
              </w:tabs>
              <w:ind w:right="-450"/>
            </w:pPr>
            <w:r>
              <w:t xml:space="preserve">           </w:t>
            </w:r>
            <w:r w:rsidR="00EC5651">
              <w:t>6</w:t>
            </w:r>
            <w:r w:rsidR="00F21116">
              <w:t>02</w:t>
            </w:r>
            <w:r>
              <w:t>,</w:t>
            </w:r>
            <w:r w:rsidR="00F21116">
              <w:t>265</w:t>
            </w:r>
          </w:p>
        </w:tc>
        <w:tc>
          <w:tcPr>
            <w:tcW w:w="1450" w:type="dxa"/>
            <w:tcBorders>
              <w:left w:val="single" w:sz="4" w:space="0" w:color="auto"/>
              <w:bottom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BB00EB" w:rsidRDefault="00BB00EB" w:rsidP="00F21116">
            <w:pPr>
              <w:tabs>
                <w:tab w:val="left" w:pos="720"/>
              </w:tabs>
              <w:ind w:right="-450"/>
            </w:pPr>
            <w:r>
              <w:t xml:space="preserve">      </w:t>
            </w:r>
            <w:r w:rsidR="00EC5651">
              <w:t>6</w:t>
            </w:r>
            <w:r w:rsidR="00F21116">
              <w:t>02</w:t>
            </w:r>
            <w:r w:rsidR="00EC5651">
              <w:t>,</w:t>
            </w:r>
            <w:r w:rsidR="00F21116">
              <w:t>265</w:t>
            </w:r>
          </w:p>
        </w:tc>
      </w:tr>
      <w:tr w:rsidR="00EC5651" w:rsidTr="009B4F28">
        <w:tc>
          <w:tcPr>
            <w:tcW w:w="3849" w:type="dxa"/>
            <w:gridSpan w:val="2"/>
            <w:tcBorders>
              <w:right w:val="single" w:sz="4" w:space="0" w:color="auto"/>
            </w:tcBorders>
          </w:tcPr>
          <w:p w:rsidR="00EC5651" w:rsidRPr="004043ED" w:rsidRDefault="00EC5651" w:rsidP="009B4F28">
            <w:pPr>
              <w:tabs>
                <w:tab w:val="left" w:pos="720"/>
              </w:tabs>
              <w:ind w:right="-450"/>
              <w:jc w:val="both"/>
              <w:rPr>
                <w:b/>
              </w:rPr>
            </w:pPr>
            <w:r w:rsidRPr="004043ED">
              <w:rPr>
                <w:b/>
              </w:rPr>
              <w:t xml:space="preserve">Total </w:t>
            </w:r>
            <w:r>
              <w:rPr>
                <w:b/>
              </w:rPr>
              <w:t>liabilities</w:t>
            </w:r>
          </w:p>
        </w:tc>
        <w:tc>
          <w:tcPr>
            <w:tcW w:w="1472" w:type="dxa"/>
            <w:tcBorders>
              <w:top w:val="single" w:sz="4" w:space="0" w:color="auto"/>
              <w:left w:val="single" w:sz="4" w:space="0" w:color="auto"/>
              <w:bottom w:val="single" w:sz="4" w:space="0" w:color="auto"/>
              <w:right w:val="single" w:sz="4" w:space="0" w:color="auto"/>
            </w:tcBorders>
          </w:tcPr>
          <w:p w:rsidR="00EC5651" w:rsidRDefault="00F21116" w:rsidP="00F21116">
            <w:pPr>
              <w:tabs>
                <w:tab w:val="left" w:pos="720"/>
              </w:tabs>
              <w:ind w:right="-450"/>
            </w:pPr>
            <w:r>
              <w:t xml:space="preserve"> </w:t>
            </w:r>
            <w:r w:rsidR="00EC5651">
              <w:t xml:space="preserve">       1,9</w:t>
            </w:r>
            <w:r>
              <w:t>45</w:t>
            </w:r>
            <w:r w:rsidR="00EC5651">
              <w:t>,</w:t>
            </w:r>
            <w:r>
              <w:t>184</w:t>
            </w:r>
          </w:p>
        </w:tc>
        <w:tc>
          <w:tcPr>
            <w:tcW w:w="1450" w:type="dxa"/>
            <w:tcBorders>
              <w:top w:val="single" w:sz="4" w:space="0" w:color="auto"/>
              <w:left w:val="single" w:sz="4" w:space="0" w:color="auto"/>
              <w:bottom w:val="single" w:sz="4" w:space="0" w:color="auto"/>
              <w:right w:val="single" w:sz="4" w:space="0" w:color="auto"/>
            </w:tcBorders>
          </w:tcPr>
          <w:p w:rsidR="00EC5651" w:rsidRDefault="00EC5651" w:rsidP="009B4F28">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EC5651" w:rsidRDefault="00F21116" w:rsidP="00EC5651">
            <w:pPr>
              <w:tabs>
                <w:tab w:val="left" w:pos="720"/>
              </w:tabs>
              <w:ind w:right="-450"/>
            </w:pPr>
            <w:r>
              <w:t xml:space="preserve">   1,945,184</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BB00EB" w:rsidRDefault="00BB00EB" w:rsidP="009B4F28">
            <w:pPr>
              <w:tabs>
                <w:tab w:val="left" w:pos="720"/>
              </w:tabs>
              <w:ind w:right="-450"/>
              <w:jc w:val="center"/>
            </w:pPr>
          </w:p>
        </w:tc>
        <w:tc>
          <w:tcPr>
            <w:tcW w:w="1450" w:type="dxa"/>
            <w:tcBorders>
              <w:top w:val="single" w:sz="4" w:space="0" w:color="auto"/>
              <w:left w:val="single" w:sz="4" w:space="0" w:color="auto"/>
              <w:right w:val="single" w:sz="4" w:space="0" w:color="auto"/>
            </w:tcBorders>
          </w:tcPr>
          <w:p w:rsidR="00BB00EB" w:rsidRDefault="00BB00EB" w:rsidP="009B4F28">
            <w:pPr>
              <w:tabs>
                <w:tab w:val="left" w:pos="720"/>
              </w:tabs>
              <w:ind w:right="-450"/>
              <w:jc w:val="center"/>
            </w:pPr>
          </w:p>
        </w:tc>
        <w:tc>
          <w:tcPr>
            <w:tcW w:w="1275" w:type="dxa"/>
            <w:tcBorders>
              <w:top w:val="single" w:sz="4" w:space="0" w:color="auto"/>
              <w:left w:val="single" w:sz="4" w:space="0" w:color="auto"/>
              <w:right w:val="single" w:sz="4" w:space="0" w:color="auto"/>
            </w:tcBorders>
          </w:tcPr>
          <w:p w:rsidR="00BB00EB" w:rsidRDefault="00BB00EB" w:rsidP="009B4F28">
            <w:pPr>
              <w:ind w:right="-450"/>
              <w:jc w:val="center"/>
            </w:pPr>
          </w:p>
        </w:tc>
      </w:tr>
      <w:tr w:rsidR="00BB00EB" w:rsidTr="009B4F28">
        <w:tc>
          <w:tcPr>
            <w:tcW w:w="3849" w:type="dxa"/>
            <w:gridSpan w:val="2"/>
            <w:tcBorders>
              <w:right w:val="single" w:sz="4" w:space="0" w:color="auto"/>
            </w:tcBorders>
          </w:tcPr>
          <w:p w:rsidR="00BB00EB" w:rsidRPr="00625F81" w:rsidRDefault="00BB00EB" w:rsidP="009B4F28">
            <w:pPr>
              <w:tabs>
                <w:tab w:val="left" w:pos="720"/>
              </w:tabs>
              <w:ind w:right="-450"/>
              <w:jc w:val="both"/>
              <w:rPr>
                <w:b/>
                <w:u w:val="single"/>
              </w:rPr>
            </w:pPr>
            <w:r>
              <w:rPr>
                <w:b/>
                <w:u w:val="single"/>
              </w:rPr>
              <w:t>Equity</w:t>
            </w:r>
          </w:p>
        </w:tc>
        <w:tc>
          <w:tcPr>
            <w:tcW w:w="1472" w:type="dxa"/>
            <w:tcBorders>
              <w:left w:val="single" w:sz="4" w:space="0" w:color="auto"/>
              <w:right w:val="single" w:sz="4" w:space="0" w:color="auto"/>
            </w:tcBorders>
          </w:tcPr>
          <w:p w:rsidR="00BB00EB" w:rsidRDefault="00BB00EB" w:rsidP="009B4F28">
            <w:pPr>
              <w:tabs>
                <w:tab w:val="left" w:pos="720"/>
              </w:tabs>
              <w:ind w:right="-450"/>
              <w:jc w:val="center"/>
            </w:pP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p>
        </w:tc>
        <w:tc>
          <w:tcPr>
            <w:tcW w:w="1275" w:type="dxa"/>
            <w:tcBorders>
              <w:left w:val="single" w:sz="4" w:space="0" w:color="auto"/>
              <w:right w:val="single" w:sz="4" w:space="0" w:color="auto"/>
            </w:tcBorders>
          </w:tcPr>
          <w:p w:rsidR="00BB00EB" w:rsidRDefault="00BB00EB" w:rsidP="009B4F28">
            <w:pPr>
              <w:ind w:right="-450"/>
              <w:jc w:val="center"/>
            </w:pP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Share capital</w:t>
            </w:r>
          </w:p>
        </w:tc>
        <w:tc>
          <w:tcPr>
            <w:tcW w:w="1472" w:type="dxa"/>
            <w:tcBorders>
              <w:left w:val="single" w:sz="4" w:space="0" w:color="auto"/>
              <w:right w:val="single" w:sz="4" w:space="0" w:color="auto"/>
            </w:tcBorders>
          </w:tcPr>
          <w:p w:rsidR="00BB00EB" w:rsidRDefault="00BB00EB" w:rsidP="009B4F28">
            <w:pPr>
              <w:tabs>
                <w:tab w:val="left" w:pos="720"/>
              </w:tabs>
              <w:ind w:right="-450"/>
            </w:pPr>
            <w:r>
              <w:t xml:space="preserve">          570,050</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9B4F28">
            <w:pPr>
              <w:tabs>
                <w:tab w:val="left" w:pos="720"/>
              </w:tabs>
              <w:ind w:right="-450"/>
            </w:pPr>
            <w:r>
              <w:t xml:space="preserve">      570,050</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Equity portion of RCSLS</w:t>
            </w:r>
          </w:p>
        </w:tc>
        <w:tc>
          <w:tcPr>
            <w:tcW w:w="1472" w:type="dxa"/>
            <w:tcBorders>
              <w:left w:val="single" w:sz="4" w:space="0" w:color="auto"/>
              <w:right w:val="single" w:sz="4" w:space="0" w:color="auto"/>
            </w:tcBorders>
          </w:tcPr>
          <w:p w:rsidR="00BB00EB" w:rsidRDefault="00BB00EB" w:rsidP="004B3FF6">
            <w:pPr>
              <w:tabs>
                <w:tab w:val="left" w:pos="720"/>
              </w:tabs>
              <w:ind w:right="-450"/>
              <w:jc w:val="center"/>
            </w:pPr>
            <w:r>
              <w:t>68,</w:t>
            </w:r>
            <w:r w:rsidR="00EC5651">
              <w:t>707</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F21116">
            <w:pPr>
              <w:ind w:right="-450"/>
            </w:pPr>
            <w:r>
              <w:t xml:space="preserve">        68,</w:t>
            </w:r>
            <w:r w:rsidR="00F21116">
              <w:t>707</w:t>
            </w:r>
          </w:p>
        </w:tc>
      </w:tr>
      <w:tr w:rsidR="00BB00EB" w:rsidTr="009B4F28">
        <w:tc>
          <w:tcPr>
            <w:tcW w:w="3849" w:type="dxa"/>
            <w:gridSpan w:val="2"/>
            <w:tcBorders>
              <w:right w:val="single" w:sz="4" w:space="0" w:color="auto"/>
            </w:tcBorders>
          </w:tcPr>
          <w:p w:rsidR="00BB00EB" w:rsidRDefault="00BB00EB" w:rsidP="00D36F6D">
            <w:pPr>
              <w:tabs>
                <w:tab w:val="left" w:pos="720"/>
              </w:tabs>
              <w:ind w:right="-450"/>
              <w:jc w:val="both"/>
            </w:pPr>
            <w:r>
              <w:t>Foreign currenc</w:t>
            </w:r>
            <w:r w:rsidR="00D36F6D">
              <w:t>y</w:t>
            </w:r>
            <w:r>
              <w:t xml:space="preserve"> translation reserves</w:t>
            </w:r>
          </w:p>
        </w:tc>
        <w:tc>
          <w:tcPr>
            <w:tcW w:w="1472" w:type="dxa"/>
            <w:tcBorders>
              <w:left w:val="single" w:sz="4" w:space="0" w:color="auto"/>
              <w:right w:val="single" w:sz="4" w:space="0" w:color="auto"/>
            </w:tcBorders>
          </w:tcPr>
          <w:p w:rsidR="00BB00EB" w:rsidRDefault="00EC5651" w:rsidP="00EC5651">
            <w:pPr>
              <w:tabs>
                <w:tab w:val="left" w:pos="720"/>
              </w:tabs>
              <w:ind w:right="-450"/>
              <w:jc w:val="center"/>
            </w:pPr>
            <w:r>
              <w:t xml:space="preserve"> </w:t>
            </w:r>
            <w:r w:rsidR="00BB00EB">
              <w:t>(</w:t>
            </w:r>
            <w:r>
              <w:t>2,683</w:t>
            </w:r>
            <w:r w:rsidR="00BB00EB">
              <w:t>)</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43,459</w:t>
            </w:r>
          </w:p>
        </w:tc>
        <w:tc>
          <w:tcPr>
            <w:tcW w:w="1275" w:type="dxa"/>
            <w:tcBorders>
              <w:left w:val="single" w:sz="4" w:space="0" w:color="auto"/>
              <w:right w:val="single" w:sz="4" w:space="0" w:color="auto"/>
            </w:tcBorders>
          </w:tcPr>
          <w:p w:rsidR="00BB00EB" w:rsidRDefault="004B3FF6" w:rsidP="00F21116">
            <w:pPr>
              <w:ind w:right="-450"/>
            </w:pPr>
            <w:r>
              <w:t xml:space="preserve">       </w:t>
            </w:r>
            <w:r w:rsidR="00F21116">
              <w:t xml:space="preserve"> 40,776</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Capital reserves</w:t>
            </w:r>
          </w:p>
        </w:tc>
        <w:tc>
          <w:tcPr>
            <w:tcW w:w="1472" w:type="dxa"/>
            <w:tcBorders>
              <w:left w:val="single" w:sz="4" w:space="0" w:color="auto"/>
              <w:right w:val="single" w:sz="4" w:space="0" w:color="auto"/>
            </w:tcBorders>
          </w:tcPr>
          <w:p w:rsidR="00BB00EB" w:rsidRDefault="00BB00EB" w:rsidP="009B4F28">
            <w:pPr>
              <w:tabs>
                <w:tab w:val="left" w:pos="720"/>
              </w:tabs>
              <w:ind w:right="-450"/>
              <w:jc w:val="center"/>
            </w:pPr>
            <w:r>
              <w:t xml:space="preserve"> 4,084</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9B4F28">
            <w:pPr>
              <w:ind w:right="-450"/>
            </w:pPr>
            <w:r>
              <w:t xml:space="preserve">          4,084</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Asset revaluation reserves</w:t>
            </w:r>
          </w:p>
        </w:tc>
        <w:tc>
          <w:tcPr>
            <w:tcW w:w="1472" w:type="dxa"/>
            <w:tcBorders>
              <w:left w:val="single" w:sz="4" w:space="0" w:color="auto"/>
              <w:right w:val="single" w:sz="4" w:space="0" w:color="auto"/>
            </w:tcBorders>
          </w:tcPr>
          <w:p w:rsidR="00BB00EB" w:rsidRDefault="00BB00EB" w:rsidP="009B4F28">
            <w:pPr>
              <w:tabs>
                <w:tab w:val="left" w:pos="720"/>
              </w:tabs>
              <w:ind w:right="-450"/>
            </w:pPr>
            <w:r>
              <w:t xml:space="preserve">          239,493</w:t>
            </w:r>
          </w:p>
        </w:tc>
        <w:tc>
          <w:tcPr>
            <w:tcW w:w="1450" w:type="dxa"/>
            <w:tcBorders>
              <w:left w:val="single" w:sz="4" w:space="0" w:color="auto"/>
              <w:right w:val="single" w:sz="4" w:space="0" w:color="auto"/>
            </w:tcBorders>
          </w:tcPr>
          <w:p w:rsidR="00BB00EB" w:rsidRDefault="00BB00EB" w:rsidP="009B4F28">
            <w:pPr>
              <w:tabs>
                <w:tab w:val="left" w:pos="720"/>
              </w:tabs>
              <w:ind w:right="-450"/>
              <w:jc w:val="center"/>
            </w:pPr>
            <w:r>
              <w:t>-</w:t>
            </w:r>
          </w:p>
        </w:tc>
        <w:tc>
          <w:tcPr>
            <w:tcW w:w="1275" w:type="dxa"/>
            <w:tcBorders>
              <w:left w:val="single" w:sz="4" w:space="0" w:color="auto"/>
              <w:right w:val="single" w:sz="4" w:space="0" w:color="auto"/>
            </w:tcBorders>
          </w:tcPr>
          <w:p w:rsidR="00BB00EB" w:rsidRDefault="00BB00EB" w:rsidP="009B4F28">
            <w:pPr>
              <w:ind w:right="-450"/>
            </w:pPr>
            <w:r>
              <w:t xml:space="preserve">      239,493</w:t>
            </w:r>
          </w:p>
        </w:tc>
      </w:tr>
      <w:tr w:rsidR="00BB00EB" w:rsidTr="009B4F28">
        <w:tc>
          <w:tcPr>
            <w:tcW w:w="3849" w:type="dxa"/>
            <w:gridSpan w:val="2"/>
            <w:tcBorders>
              <w:right w:val="single" w:sz="4" w:space="0" w:color="auto"/>
            </w:tcBorders>
          </w:tcPr>
          <w:p w:rsidR="00BB00EB" w:rsidRDefault="00BB00EB" w:rsidP="009B4F28">
            <w:pPr>
              <w:tabs>
                <w:tab w:val="left" w:pos="720"/>
              </w:tabs>
              <w:ind w:right="-450"/>
              <w:jc w:val="both"/>
            </w:pPr>
            <w:r>
              <w:t>Retained earnings</w:t>
            </w:r>
          </w:p>
        </w:tc>
        <w:tc>
          <w:tcPr>
            <w:tcW w:w="1472" w:type="dxa"/>
            <w:tcBorders>
              <w:left w:val="single" w:sz="4" w:space="0" w:color="auto"/>
              <w:bottom w:val="single" w:sz="4" w:space="0" w:color="auto"/>
              <w:right w:val="single" w:sz="4" w:space="0" w:color="auto"/>
            </w:tcBorders>
          </w:tcPr>
          <w:p w:rsidR="00BB00EB" w:rsidRDefault="00EC5651" w:rsidP="00F21116">
            <w:pPr>
              <w:tabs>
                <w:tab w:val="left" w:pos="720"/>
              </w:tabs>
              <w:ind w:right="-450"/>
            </w:pPr>
            <w:r>
              <w:t xml:space="preserve">          1</w:t>
            </w:r>
            <w:r w:rsidR="00F21116">
              <w:t>18</w:t>
            </w:r>
            <w:r>
              <w:t>,</w:t>
            </w:r>
            <w:r w:rsidR="00F21116">
              <w:t>417</w:t>
            </w:r>
          </w:p>
        </w:tc>
        <w:tc>
          <w:tcPr>
            <w:tcW w:w="1450" w:type="dxa"/>
            <w:tcBorders>
              <w:left w:val="single" w:sz="4" w:space="0" w:color="auto"/>
              <w:bottom w:val="single" w:sz="4" w:space="0" w:color="auto"/>
              <w:right w:val="single" w:sz="4" w:space="0" w:color="auto"/>
            </w:tcBorders>
          </w:tcPr>
          <w:p w:rsidR="00BB00EB" w:rsidRDefault="00BB00EB" w:rsidP="009B4F28">
            <w:pPr>
              <w:tabs>
                <w:tab w:val="left" w:pos="720"/>
              </w:tabs>
              <w:ind w:right="-450"/>
              <w:jc w:val="center"/>
            </w:pPr>
            <w:r>
              <w:t>(43,459)</w:t>
            </w:r>
          </w:p>
        </w:tc>
        <w:tc>
          <w:tcPr>
            <w:tcW w:w="1275" w:type="dxa"/>
            <w:tcBorders>
              <w:left w:val="single" w:sz="4" w:space="0" w:color="auto"/>
              <w:bottom w:val="single" w:sz="4" w:space="0" w:color="auto"/>
              <w:right w:val="single" w:sz="4" w:space="0" w:color="auto"/>
            </w:tcBorders>
          </w:tcPr>
          <w:p w:rsidR="00BB00EB" w:rsidRDefault="00F21116" w:rsidP="00F21116">
            <w:pPr>
              <w:ind w:right="-450"/>
            </w:pPr>
            <w:r>
              <w:t xml:space="preserve">        74,958</w:t>
            </w:r>
          </w:p>
        </w:tc>
      </w:tr>
      <w:tr w:rsidR="00F21116" w:rsidTr="009B4F28">
        <w:tc>
          <w:tcPr>
            <w:tcW w:w="3849" w:type="dxa"/>
            <w:gridSpan w:val="2"/>
            <w:tcBorders>
              <w:right w:val="single" w:sz="4" w:space="0" w:color="auto"/>
            </w:tcBorders>
          </w:tcPr>
          <w:p w:rsidR="00F21116" w:rsidRPr="00462E37" w:rsidRDefault="00F21116" w:rsidP="009B4F28">
            <w:pPr>
              <w:tabs>
                <w:tab w:val="left" w:pos="720"/>
              </w:tabs>
              <w:ind w:right="-450"/>
              <w:jc w:val="both"/>
              <w:rPr>
                <w:b/>
              </w:rPr>
            </w:pPr>
            <w:r w:rsidRPr="00462E37">
              <w:rPr>
                <w:b/>
              </w:rPr>
              <w:t>Equity attributable to owners of the parent</w:t>
            </w:r>
          </w:p>
        </w:tc>
        <w:tc>
          <w:tcPr>
            <w:tcW w:w="1472" w:type="dxa"/>
            <w:tcBorders>
              <w:top w:val="single" w:sz="4" w:space="0" w:color="auto"/>
              <w:left w:val="single" w:sz="4" w:space="0" w:color="auto"/>
              <w:right w:val="single" w:sz="4" w:space="0" w:color="auto"/>
            </w:tcBorders>
          </w:tcPr>
          <w:p w:rsidR="00F21116" w:rsidRDefault="00F21116" w:rsidP="00F21116">
            <w:pPr>
              <w:tabs>
                <w:tab w:val="left" w:pos="720"/>
              </w:tabs>
              <w:ind w:right="-450"/>
            </w:pPr>
            <w:r>
              <w:t xml:space="preserve">          998,068</w:t>
            </w:r>
          </w:p>
        </w:tc>
        <w:tc>
          <w:tcPr>
            <w:tcW w:w="1450" w:type="dxa"/>
            <w:tcBorders>
              <w:top w:val="single" w:sz="4" w:space="0" w:color="auto"/>
              <w:left w:val="single" w:sz="4" w:space="0" w:color="auto"/>
              <w:right w:val="single" w:sz="4" w:space="0" w:color="auto"/>
            </w:tcBorders>
          </w:tcPr>
          <w:p w:rsidR="00F21116" w:rsidRDefault="00F21116" w:rsidP="009B4F28">
            <w:pPr>
              <w:tabs>
                <w:tab w:val="left" w:pos="720"/>
              </w:tabs>
              <w:ind w:right="-450"/>
              <w:jc w:val="center"/>
            </w:pPr>
            <w:r>
              <w:t>-</w:t>
            </w:r>
          </w:p>
        </w:tc>
        <w:tc>
          <w:tcPr>
            <w:tcW w:w="1275" w:type="dxa"/>
            <w:tcBorders>
              <w:top w:val="single" w:sz="4" w:space="0" w:color="auto"/>
              <w:left w:val="single" w:sz="4" w:space="0" w:color="auto"/>
              <w:right w:val="single" w:sz="4" w:space="0" w:color="auto"/>
            </w:tcBorders>
          </w:tcPr>
          <w:p w:rsidR="00F21116" w:rsidRDefault="00F21116" w:rsidP="00F21116">
            <w:pPr>
              <w:tabs>
                <w:tab w:val="left" w:pos="720"/>
              </w:tabs>
              <w:ind w:right="-450"/>
            </w:pPr>
            <w:r>
              <w:t xml:space="preserve">      998,068</w:t>
            </w:r>
          </w:p>
        </w:tc>
      </w:tr>
      <w:tr w:rsidR="00F21116" w:rsidTr="009B4F28">
        <w:tc>
          <w:tcPr>
            <w:tcW w:w="3849" w:type="dxa"/>
            <w:gridSpan w:val="2"/>
            <w:tcBorders>
              <w:right w:val="single" w:sz="4" w:space="0" w:color="auto"/>
            </w:tcBorders>
          </w:tcPr>
          <w:p w:rsidR="00F21116" w:rsidRDefault="00F21116" w:rsidP="009B4F28">
            <w:pPr>
              <w:tabs>
                <w:tab w:val="left" w:pos="720"/>
              </w:tabs>
              <w:ind w:right="-450"/>
              <w:jc w:val="both"/>
            </w:pPr>
            <w:r>
              <w:t>Non-controlling interests</w:t>
            </w:r>
          </w:p>
        </w:tc>
        <w:tc>
          <w:tcPr>
            <w:tcW w:w="1472" w:type="dxa"/>
            <w:tcBorders>
              <w:left w:val="single" w:sz="4" w:space="0" w:color="auto"/>
              <w:bottom w:val="single" w:sz="4" w:space="0" w:color="auto"/>
              <w:right w:val="single" w:sz="4" w:space="0" w:color="auto"/>
            </w:tcBorders>
          </w:tcPr>
          <w:p w:rsidR="00F21116" w:rsidRDefault="00F21116" w:rsidP="004B3FF6">
            <w:pPr>
              <w:tabs>
                <w:tab w:val="left" w:pos="720"/>
              </w:tabs>
              <w:ind w:right="-450"/>
              <w:jc w:val="center"/>
            </w:pPr>
            <w:r>
              <w:t>23,713</w:t>
            </w:r>
          </w:p>
        </w:tc>
        <w:tc>
          <w:tcPr>
            <w:tcW w:w="1450" w:type="dxa"/>
            <w:tcBorders>
              <w:left w:val="single" w:sz="4" w:space="0" w:color="auto"/>
              <w:bottom w:val="single" w:sz="4" w:space="0" w:color="auto"/>
              <w:right w:val="single" w:sz="4" w:space="0" w:color="auto"/>
            </w:tcBorders>
          </w:tcPr>
          <w:p w:rsidR="00F21116" w:rsidRDefault="00F21116"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F21116" w:rsidRDefault="00F21116" w:rsidP="00F21116">
            <w:pPr>
              <w:tabs>
                <w:tab w:val="left" w:pos="720"/>
              </w:tabs>
              <w:ind w:right="-450"/>
            </w:pPr>
            <w:r>
              <w:t xml:space="preserve">        23,713</w:t>
            </w:r>
          </w:p>
        </w:tc>
      </w:tr>
      <w:tr w:rsidR="00F21116" w:rsidTr="009B4F28">
        <w:tc>
          <w:tcPr>
            <w:tcW w:w="3849" w:type="dxa"/>
            <w:gridSpan w:val="2"/>
            <w:tcBorders>
              <w:right w:val="single" w:sz="4" w:space="0" w:color="auto"/>
            </w:tcBorders>
          </w:tcPr>
          <w:p w:rsidR="00F21116" w:rsidRPr="00EF3FE0" w:rsidRDefault="00F21116" w:rsidP="009B4F28">
            <w:pPr>
              <w:tabs>
                <w:tab w:val="left" w:pos="720"/>
              </w:tabs>
              <w:ind w:right="-450"/>
              <w:jc w:val="both"/>
              <w:rPr>
                <w:b/>
              </w:rPr>
            </w:pPr>
            <w:r w:rsidRPr="00EF3FE0">
              <w:rPr>
                <w:b/>
              </w:rPr>
              <w:t>Total equity</w:t>
            </w:r>
          </w:p>
        </w:tc>
        <w:tc>
          <w:tcPr>
            <w:tcW w:w="1472" w:type="dxa"/>
            <w:tcBorders>
              <w:top w:val="single" w:sz="4" w:space="0" w:color="auto"/>
              <w:left w:val="single" w:sz="4" w:space="0" w:color="auto"/>
              <w:bottom w:val="single" w:sz="4" w:space="0" w:color="auto"/>
              <w:right w:val="single" w:sz="4" w:space="0" w:color="auto"/>
            </w:tcBorders>
          </w:tcPr>
          <w:p w:rsidR="00F21116" w:rsidRDefault="00F21116" w:rsidP="00F21116">
            <w:pPr>
              <w:tabs>
                <w:tab w:val="left" w:pos="720"/>
              </w:tabs>
              <w:ind w:right="-450"/>
            </w:pPr>
            <w:r>
              <w:t xml:space="preserve">       1,021,781</w:t>
            </w:r>
          </w:p>
        </w:tc>
        <w:tc>
          <w:tcPr>
            <w:tcW w:w="1450" w:type="dxa"/>
            <w:tcBorders>
              <w:top w:val="single" w:sz="4" w:space="0" w:color="auto"/>
              <w:left w:val="single" w:sz="4" w:space="0" w:color="auto"/>
              <w:bottom w:val="single" w:sz="4" w:space="0" w:color="auto"/>
              <w:right w:val="single" w:sz="4" w:space="0" w:color="auto"/>
            </w:tcBorders>
          </w:tcPr>
          <w:p w:rsidR="00F21116" w:rsidRDefault="00F21116" w:rsidP="009B4F28">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F21116" w:rsidRDefault="00F21116" w:rsidP="00F21116">
            <w:pPr>
              <w:tabs>
                <w:tab w:val="left" w:pos="720"/>
              </w:tabs>
              <w:ind w:right="-450"/>
            </w:pPr>
            <w:r>
              <w:t xml:space="preserve">   1,021,781</w:t>
            </w:r>
          </w:p>
        </w:tc>
      </w:tr>
      <w:tr w:rsidR="00F21116" w:rsidTr="009B4F28">
        <w:tc>
          <w:tcPr>
            <w:tcW w:w="3849" w:type="dxa"/>
            <w:gridSpan w:val="2"/>
            <w:tcBorders>
              <w:right w:val="single" w:sz="4" w:space="0" w:color="auto"/>
            </w:tcBorders>
          </w:tcPr>
          <w:p w:rsidR="00F21116" w:rsidRDefault="00F21116" w:rsidP="009B4F28">
            <w:pPr>
              <w:tabs>
                <w:tab w:val="left" w:pos="720"/>
              </w:tabs>
              <w:ind w:right="-450"/>
              <w:jc w:val="both"/>
              <w:rPr>
                <w:b/>
              </w:rPr>
            </w:pPr>
          </w:p>
          <w:p w:rsidR="00F21116" w:rsidRPr="00EF3FE0" w:rsidRDefault="00F21116" w:rsidP="009B4F28">
            <w:pPr>
              <w:tabs>
                <w:tab w:val="left" w:pos="720"/>
              </w:tabs>
              <w:ind w:right="-450"/>
              <w:jc w:val="both"/>
              <w:rPr>
                <w:b/>
              </w:rPr>
            </w:pPr>
            <w:r>
              <w:rPr>
                <w:b/>
              </w:rPr>
              <w:t>Total equity and liabilities</w:t>
            </w:r>
          </w:p>
        </w:tc>
        <w:tc>
          <w:tcPr>
            <w:tcW w:w="1472" w:type="dxa"/>
            <w:tcBorders>
              <w:top w:val="single" w:sz="4" w:space="0" w:color="auto"/>
              <w:left w:val="single" w:sz="4" w:space="0" w:color="auto"/>
              <w:bottom w:val="single" w:sz="12" w:space="0" w:color="auto"/>
              <w:right w:val="single" w:sz="4" w:space="0" w:color="auto"/>
            </w:tcBorders>
          </w:tcPr>
          <w:p w:rsidR="00F21116" w:rsidRDefault="00F21116" w:rsidP="009B4F28">
            <w:pPr>
              <w:tabs>
                <w:tab w:val="left" w:pos="720"/>
              </w:tabs>
              <w:ind w:right="-450"/>
            </w:pPr>
          </w:p>
          <w:p w:rsidR="00F21116" w:rsidRDefault="00F21116" w:rsidP="00EC5651">
            <w:pPr>
              <w:tabs>
                <w:tab w:val="left" w:pos="720"/>
              </w:tabs>
              <w:ind w:right="-450"/>
            </w:pPr>
            <w:r>
              <w:t xml:space="preserve">       2,966,965</w:t>
            </w:r>
          </w:p>
        </w:tc>
        <w:tc>
          <w:tcPr>
            <w:tcW w:w="1450" w:type="dxa"/>
            <w:tcBorders>
              <w:top w:val="single" w:sz="4" w:space="0" w:color="auto"/>
              <w:left w:val="single" w:sz="4" w:space="0" w:color="auto"/>
              <w:bottom w:val="single" w:sz="12" w:space="0" w:color="auto"/>
              <w:right w:val="single" w:sz="4" w:space="0" w:color="auto"/>
            </w:tcBorders>
          </w:tcPr>
          <w:p w:rsidR="00F21116" w:rsidRDefault="00F21116" w:rsidP="009B4F28">
            <w:pPr>
              <w:tabs>
                <w:tab w:val="left" w:pos="720"/>
              </w:tabs>
              <w:ind w:right="-450"/>
              <w:jc w:val="center"/>
            </w:pPr>
          </w:p>
          <w:p w:rsidR="00F21116" w:rsidRDefault="00F21116" w:rsidP="009B4F28">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F21116" w:rsidRDefault="00F21116" w:rsidP="00F21116">
            <w:pPr>
              <w:tabs>
                <w:tab w:val="left" w:pos="720"/>
              </w:tabs>
              <w:ind w:right="-450"/>
            </w:pPr>
          </w:p>
          <w:p w:rsidR="00F21116" w:rsidRDefault="00F21116" w:rsidP="00F21116">
            <w:pPr>
              <w:tabs>
                <w:tab w:val="left" w:pos="720"/>
              </w:tabs>
              <w:ind w:right="-450"/>
            </w:pPr>
            <w:r>
              <w:t xml:space="preserve">   2,966,965</w:t>
            </w:r>
          </w:p>
        </w:tc>
      </w:tr>
    </w:tbl>
    <w:p w:rsidR="0021213C" w:rsidRDefault="0021213C" w:rsidP="0021213C">
      <w:pPr>
        <w:autoSpaceDE w:val="0"/>
        <w:autoSpaceDN w:val="0"/>
        <w:adjustRightInd w:val="0"/>
        <w:ind w:firstLine="720"/>
        <w:rPr>
          <w:u w:val="single"/>
        </w:rPr>
      </w:pPr>
      <w:r>
        <w:rPr>
          <w:u w:val="single"/>
        </w:rPr>
        <w:lastRenderedPageBreak/>
        <w:t>Reconciliation of equity as at 31 December 2011</w:t>
      </w:r>
    </w:p>
    <w:p w:rsidR="0021213C" w:rsidRDefault="0021213C" w:rsidP="0021213C">
      <w:pPr>
        <w:autoSpaceDE w:val="0"/>
        <w:autoSpaceDN w:val="0"/>
        <w:adjustRightInd w:val="0"/>
        <w:rPr>
          <w:u w:val="single"/>
        </w:rPr>
      </w:pPr>
    </w:p>
    <w:tbl>
      <w:tblPr>
        <w:tblW w:w="8046" w:type="dxa"/>
        <w:tblInd w:w="1368" w:type="dxa"/>
        <w:tblLook w:val="01E0"/>
      </w:tblPr>
      <w:tblGrid>
        <w:gridCol w:w="90"/>
        <w:gridCol w:w="3759"/>
        <w:gridCol w:w="1472"/>
        <w:gridCol w:w="1450"/>
        <w:gridCol w:w="1275"/>
      </w:tblGrid>
      <w:tr w:rsidR="009B4F28" w:rsidRPr="00625F81" w:rsidTr="009B4F28">
        <w:trPr>
          <w:gridBefore w:val="1"/>
          <w:wBefore w:w="90" w:type="dxa"/>
        </w:trPr>
        <w:tc>
          <w:tcPr>
            <w:tcW w:w="3759" w:type="dxa"/>
            <w:tcBorders>
              <w:right w:val="single" w:sz="4" w:space="0" w:color="auto"/>
            </w:tcBorders>
          </w:tcPr>
          <w:p w:rsidR="009B4F28" w:rsidRPr="00625F81" w:rsidRDefault="009B4F28" w:rsidP="009B4F28">
            <w:pPr>
              <w:tabs>
                <w:tab w:val="left" w:pos="720"/>
              </w:tabs>
              <w:ind w:right="-450"/>
              <w:jc w:val="both"/>
              <w:rPr>
                <w:b/>
              </w:rPr>
            </w:pPr>
          </w:p>
          <w:p w:rsidR="009B4F28" w:rsidRPr="00625F81" w:rsidRDefault="009B4F28" w:rsidP="009B4F28">
            <w:pPr>
              <w:tabs>
                <w:tab w:val="left" w:pos="720"/>
              </w:tabs>
              <w:ind w:right="-450"/>
              <w:jc w:val="both"/>
              <w:rPr>
                <w:b/>
              </w:rPr>
            </w:pPr>
          </w:p>
        </w:tc>
        <w:tc>
          <w:tcPr>
            <w:tcW w:w="1472" w:type="dxa"/>
            <w:tcBorders>
              <w:top w:val="single" w:sz="4" w:space="0" w:color="auto"/>
              <w:left w:val="single" w:sz="4" w:space="0" w:color="auto"/>
              <w:bottom w:val="single" w:sz="4" w:space="0" w:color="auto"/>
              <w:right w:val="single" w:sz="4" w:space="0" w:color="auto"/>
            </w:tcBorders>
          </w:tcPr>
          <w:p w:rsidR="009B4F28" w:rsidRDefault="009B4F28" w:rsidP="009B4F28">
            <w:pPr>
              <w:pStyle w:val="BodyText"/>
              <w:tabs>
                <w:tab w:val="left" w:pos="360"/>
                <w:tab w:val="left" w:pos="540"/>
                <w:tab w:val="left" w:pos="630"/>
                <w:tab w:val="left" w:pos="1080"/>
              </w:tabs>
              <w:ind w:left="-18" w:right="-18"/>
              <w:jc w:val="center"/>
              <w:rPr>
                <w:b/>
                <w:sz w:val="18"/>
              </w:rPr>
            </w:pPr>
            <w:r>
              <w:rPr>
                <w:b/>
                <w:sz w:val="18"/>
              </w:rPr>
              <w:t>FRS as at</w:t>
            </w:r>
          </w:p>
          <w:p w:rsidR="009B4F28" w:rsidRPr="0024709B" w:rsidRDefault="009B4F28" w:rsidP="009B4F28">
            <w:pPr>
              <w:pStyle w:val="BodyText"/>
              <w:tabs>
                <w:tab w:val="left" w:pos="360"/>
                <w:tab w:val="left" w:pos="540"/>
                <w:tab w:val="left" w:pos="630"/>
                <w:tab w:val="left" w:pos="1080"/>
              </w:tabs>
              <w:ind w:left="-108" w:right="-108"/>
              <w:jc w:val="center"/>
              <w:rPr>
                <w:b/>
                <w:sz w:val="18"/>
              </w:rPr>
            </w:pPr>
            <w:r>
              <w:rPr>
                <w:b/>
                <w:sz w:val="18"/>
              </w:rPr>
              <w:t>3</w:t>
            </w:r>
            <w:r w:rsidRPr="0024709B">
              <w:rPr>
                <w:b/>
                <w:sz w:val="18"/>
              </w:rPr>
              <w:t>1</w:t>
            </w:r>
            <w:r>
              <w:rPr>
                <w:b/>
                <w:sz w:val="18"/>
              </w:rPr>
              <w:t>/12/2011</w:t>
            </w:r>
          </w:p>
          <w:p w:rsidR="009B4F28" w:rsidRPr="00625F81" w:rsidRDefault="009B4F28" w:rsidP="009B4F28">
            <w:pPr>
              <w:pStyle w:val="BodyText"/>
              <w:tabs>
                <w:tab w:val="left" w:pos="360"/>
                <w:tab w:val="left" w:pos="540"/>
                <w:tab w:val="left" w:pos="630"/>
                <w:tab w:val="left" w:pos="1080"/>
              </w:tabs>
              <w:ind w:left="-18" w:right="-18"/>
              <w:jc w:val="center"/>
              <w:rPr>
                <w:b/>
                <w:sz w:val="18"/>
              </w:rPr>
            </w:pPr>
            <w:r w:rsidRPr="00625F81">
              <w:rPr>
                <w:b/>
                <w:sz w:val="18"/>
              </w:rPr>
              <w:t>RM’000</w:t>
            </w:r>
          </w:p>
        </w:tc>
        <w:tc>
          <w:tcPr>
            <w:tcW w:w="1450" w:type="dxa"/>
            <w:tcBorders>
              <w:top w:val="single" w:sz="4" w:space="0" w:color="auto"/>
              <w:left w:val="single" w:sz="4" w:space="0" w:color="auto"/>
              <w:bottom w:val="single" w:sz="4" w:space="0" w:color="auto"/>
              <w:right w:val="single" w:sz="4" w:space="0" w:color="auto"/>
            </w:tcBorders>
          </w:tcPr>
          <w:p w:rsidR="009B4F28" w:rsidRDefault="009B4F28" w:rsidP="009B4F28">
            <w:pPr>
              <w:pStyle w:val="BodyText"/>
              <w:tabs>
                <w:tab w:val="left" w:pos="360"/>
                <w:tab w:val="left" w:pos="540"/>
                <w:tab w:val="left" w:pos="630"/>
                <w:tab w:val="left" w:pos="1080"/>
              </w:tabs>
              <w:ind w:left="-18" w:right="-18"/>
              <w:jc w:val="center"/>
              <w:rPr>
                <w:b/>
                <w:sz w:val="18"/>
              </w:rPr>
            </w:pPr>
          </w:p>
          <w:p w:rsidR="009B4F28" w:rsidRPr="00625F81" w:rsidRDefault="009B4F28" w:rsidP="009B4F28">
            <w:pPr>
              <w:pStyle w:val="BodyText"/>
              <w:tabs>
                <w:tab w:val="left" w:pos="360"/>
                <w:tab w:val="left" w:pos="540"/>
                <w:tab w:val="left" w:pos="630"/>
                <w:tab w:val="left" w:pos="1080"/>
              </w:tabs>
              <w:ind w:left="-18" w:right="-18"/>
              <w:jc w:val="center"/>
              <w:rPr>
                <w:b/>
                <w:sz w:val="18"/>
              </w:rPr>
            </w:pPr>
            <w:r>
              <w:rPr>
                <w:b/>
                <w:sz w:val="18"/>
              </w:rPr>
              <w:t>Reclassifications</w:t>
            </w:r>
          </w:p>
          <w:p w:rsidR="009B4F28" w:rsidRPr="00625F81" w:rsidRDefault="009B4F28" w:rsidP="009B4F28">
            <w:pPr>
              <w:pStyle w:val="BodyText"/>
              <w:tabs>
                <w:tab w:val="left" w:pos="360"/>
                <w:tab w:val="left" w:pos="540"/>
                <w:tab w:val="left" w:pos="630"/>
                <w:tab w:val="left" w:pos="1080"/>
              </w:tabs>
              <w:ind w:left="-18" w:right="-18"/>
              <w:jc w:val="center"/>
              <w:rPr>
                <w:b/>
                <w:sz w:val="18"/>
              </w:rPr>
            </w:pPr>
            <w:r w:rsidRPr="00625F81">
              <w:rPr>
                <w:b/>
                <w:sz w:val="18"/>
              </w:rPr>
              <w:t>RM’000</w:t>
            </w:r>
          </w:p>
        </w:tc>
        <w:tc>
          <w:tcPr>
            <w:tcW w:w="1275" w:type="dxa"/>
            <w:tcBorders>
              <w:top w:val="single" w:sz="4" w:space="0" w:color="auto"/>
              <w:left w:val="single" w:sz="4" w:space="0" w:color="auto"/>
              <w:bottom w:val="single" w:sz="4" w:space="0" w:color="auto"/>
              <w:right w:val="single" w:sz="4" w:space="0" w:color="auto"/>
            </w:tcBorders>
          </w:tcPr>
          <w:p w:rsidR="009B4F28" w:rsidRPr="00625F81" w:rsidRDefault="009B4F28" w:rsidP="009B4F28">
            <w:pPr>
              <w:pStyle w:val="BodyText"/>
              <w:tabs>
                <w:tab w:val="left" w:pos="360"/>
                <w:tab w:val="left" w:pos="540"/>
                <w:tab w:val="left" w:pos="630"/>
                <w:tab w:val="left" w:pos="1080"/>
              </w:tabs>
              <w:ind w:left="-18" w:right="-18"/>
              <w:jc w:val="center"/>
              <w:rPr>
                <w:b/>
                <w:sz w:val="18"/>
              </w:rPr>
            </w:pPr>
            <w:r>
              <w:rPr>
                <w:b/>
                <w:sz w:val="18"/>
              </w:rPr>
              <w:t>MFRS as at</w:t>
            </w:r>
          </w:p>
          <w:p w:rsidR="009B4F28" w:rsidRPr="00625F81" w:rsidRDefault="009B4F28" w:rsidP="009B4F28">
            <w:pPr>
              <w:pStyle w:val="BodyText"/>
              <w:tabs>
                <w:tab w:val="left" w:pos="360"/>
                <w:tab w:val="left" w:pos="540"/>
                <w:tab w:val="left" w:pos="630"/>
                <w:tab w:val="left" w:pos="1080"/>
              </w:tabs>
              <w:ind w:left="-18" w:right="-18"/>
              <w:jc w:val="center"/>
              <w:rPr>
                <w:b/>
                <w:sz w:val="18"/>
              </w:rPr>
            </w:pPr>
            <w:r w:rsidRPr="00625F81">
              <w:rPr>
                <w:b/>
                <w:sz w:val="18"/>
              </w:rPr>
              <w:t xml:space="preserve"> </w:t>
            </w:r>
            <w:r>
              <w:rPr>
                <w:b/>
                <w:sz w:val="18"/>
              </w:rPr>
              <w:t>31/12/2011</w:t>
            </w:r>
          </w:p>
          <w:p w:rsidR="009B4F28" w:rsidRPr="00625F81" w:rsidRDefault="009B4F28" w:rsidP="009B4F28">
            <w:pPr>
              <w:pStyle w:val="BodyText"/>
              <w:tabs>
                <w:tab w:val="left" w:pos="360"/>
                <w:tab w:val="left" w:pos="540"/>
                <w:tab w:val="left" w:pos="630"/>
                <w:tab w:val="left" w:pos="1080"/>
              </w:tabs>
              <w:ind w:left="-18" w:right="-18"/>
              <w:jc w:val="center"/>
              <w:rPr>
                <w:b/>
                <w:sz w:val="18"/>
              </w:rPr>
            </w:pPr>
            <w:r w:rsidRPr="00625F81">
              <w:rPr>
                <w:b/>
                <w:sz w:val="18"/>
              </w:rPr>
              <w:t>RM’000</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p>
        </w:tc>
        <w:tc>
          <w:tcPr>
            <w:tcW w:w="1450"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p>
        </w:tc>
        <w:tc>
          <w:tcPr>
            <w:tcW w:w="1275" w:type="dxa"/>
            <w:tcBorders>
              <w:top w:val="single" w:sz="4" w:space="0" w:color="auto"/>
              <w:left w:val="single" w:sz="4" w:space="0" w:color="auto"/>
              <w:right w:val="single" w:sz="4" w:space="0" w:color="auto"/>
            </w:tcBorders>
          </w:tcPr>
          <w:p w:rsidR="009B4F28" w:rsidRDefault="009B4F28" w:rsidP="009B4F28">
            <w:pPr>
              <w:tabs>
                <w:tab w:val="left" w:pos="720"/>
              </w:tabs>
              <w:ind w:right="-450"/>
            </w:pP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pPr>
            <w:r w:rsidRPr="004043ED">
              <w:t>Non-current assets</w:t>
            </w:r>
          </w:p>
        </w:tc>
        <w:tc>
          <w:tcPr>
            <w:tcW w:w="1472" w:type="dxa"/>
            <w:tcBorders>
              <w:left w:val="single" w:sz="4" w:space="0" w:color="auto"/>
              <w:right w:val="single" w:sz="4" w:space="0" w:color="auto"/>
            </w:tcBorders>
          </w:tcPr>
          <w:p w:rsidR="009B4F28" w:rsidRDefault="009B4F28" w:rsidP="009B4F28">
            <w:pPr>
              <w:tabs>
                <w:tab w:val="left" w:pos="720"/>
              </w:tabs>
              <w:ind w:right="-450"/>
            </w:pPr>
            <w:r>
              <w:t xml:space="preserve">        1,512,037</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tabs>
                <w:tab w:val="left" w:pos="720"/>
              </w:tabs>
              <w:ind w:right="-450"/>
            </w:pPr>
            <w:r>
              <w:t xml:space="preserve">   1,512,037</w:t>
            </w: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pPr>
            <w:r w:rsidRPr="004043ED">
              <w:t>Current assets</w:t>
            </w:r>
          </w:p>
        </w:tc>
        <w:tc>
          <w:tcPr>
            <w:tcW w:w="1472"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1,682,104</w:t>
            </w:r>
          </w:p>
        </w:tc>
        <w:tc>
          <w:tcPr>
            <w:tcW w:w="1450"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1,682,104</w:t>
            </w: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rPr>
                <w:b/>
              </w:rPr>
            </w:pPr>
            <w:r w:rsidRPr="004043ED">
              <w:rPr>
                <w:b/>
              </w:rPr>
              <w:t>Total assets</w:t>
            </w:r>
          </w:p>
        </w:tc>
        <w:tc>
          <w:tcPr>
            <w:tcW w:w="1472"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pPr>
            <w:r>
              <w:t xml:space="preserve">        3,194,141</w:t>
            </w:r>
          </w:p>
        </w:tc>
        <w:tc>
          <w:tcPr>
            <w:tcW w:w="1450"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pPr>
            <w:r>
              <w:t xml:space="preserve">   3,194,141</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rPr>
                <w:b/>
                <w:u w:val="single"/>
              </w:rPr>
            </w:pPr>
          </w:p>
        </w:tc>
        <w:tc>
          <w:tcPr>
            <w:tcW w:w="1472" w:type="dxa"/>
            <w:tcBorders>
              <w:top w:val="single" w:sz="12" w:space="0" w:color="auto"/>
              <w:left w:val="single" w:sz="4" w:space="0" w:color="auto"/>
              <w:right w:val="single" w:sz="4" w:space="0" w:color="auto"/>
            </w:tcBorders>
          </w:tcPr>
          <w:p w:rsidR="009B4F28" w:rsidRDefault="009B4F28" w:rsidP="009B4F28">
            <w:pPr>
              <w:tabs>
                <w:tab w:val="left" w:pos="720"/>
              </w:tabs>
              <w:ind w:right="-450"/>
              <w:jc w:val="center"/>
            </w:pPr>
          </w:p>
        </w:tc>
        <w:tc>
          <w:tcPr>
            <w:tcW w:w="1450" w:type="dxa"/>
            <w:tcBorders>
              <w:top w:val="single" w:sz="12" w:space="0" w:color="auto"/>
              <w:left w:val="single" w:sz="4" w:space="0" w:color="auto"/>
              <w:right w:val="single" w:sz="4" w:space="0" w:color="auto"/>
            </w:tcBorders>
          </w:tcPr>
          <w:p w:rsidR="009B4F28" w:rsidRDefault="009B4F28" w:rsidP="009B4F28">
            <w:pPr>
              <w:tabs>
                <w:tab w:val="left" w:pos="720"/>
              </w:tabs>
              <w:ind w:right="-450"/>
              <w:jc w:val="center"/>
            </w:pPr>
          </w:p>
        </w:tc>
        <w:tc>
          <w:tcPr>
            <w:tcW w:w="1275" w:type="dxa"/>
            <w:tcBorders>
              <w:top w:val="single" w:sz="12" w:space="0" w:color="auto"/>
              <w:left w:val="single" w:sz="4" w:space="0" w:color="auto"/>
              <w:right w:val="single" w:sz="4" w:space="0" w:color="auto"/>
            </w:tcBorders>
          </w:tcPr>
          <w:p w:rsidR="009B4F28" w:rsidRDefault="009B4F28" w:rsidP="009B4F28">
            <w:pPr>
              <w:tabs>
                <w:tab w:val="left" w:pos="720"/>
              </w:tabs>
              <w:ind w:right="-450"/>
              <w:jc w:val="center"/>
            </w:pP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pPr>
            <w:r w:rsidRPr="004043ED">
              <w:t xml:space="preserve">Current </w:t>
            </w:r>
            <w:r>
              <w:t>liabilities</w:t>
            </w:r>
          </w:p>
        </w:tc>
        <w:tc>
          <w:tcPr>
            <w:tcW w:w="1472" w:type="dxa"/>
            <w:tcBorders>
              <w:left w:val="single" w:sz="4" w:space="0" w:color="auto"/>
              <w:right w:val="single" w:sz="4" w:space="0" w:color="auto"/>
            </w:tcBorders>
          </w:tcPr>
          <w:p w:rsidR="009B4F28" w:rsidRDefault="009B4F28" w:rsidP="009B4F28">
            <w:pPr>
              <w:tabs>
                <w:tab w:val="left" w:pos="720"/>
              </w:tabs>
              <w:ind w:right="-450"/>
            </w:pPr>
            <w:r>
              <w:t xml:space="preserve">        1,564,814</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tabs>
                <w:tab w:val="left" w:pos="720"/>
              </w:tabs>
              <w:ind w:right="-450"/>
            </w:pPr>
            <w:r>
              <w:t xml:space="preserve">   1,564,814</w:t>
            </w: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pPr>
            <w:r w:rsidRPr="004043ED">
              <w:t>Non-current</w:t>
            </w:r>
            <w:r>
              <w:t xml:space="preserve"> liabilities</w:t>
            </w:r>
          </w:p>
        </w:tc>
        <w:tc>
          <w:tcPr>
            <w:tcW w:w="1472"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595,718</w:t>
            </w:r>
          </w:p>
        </w:tc>
        <w:tc>
          <w:tcPr>
            <w:tcW w:w="1450"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595,718</w:t>
            </w:r>
          </w:p>
        </w:tc>
      </w:tr>
      <w:tr w:rsidR="009B4F28" w:rsidTr="009B4F28">
        <w:tc>
          <w:tcPr>
            <w:tcW w:w="3849" w:type="dxa"/>
            <w:gridSpan w:val="2"/>
            <w:tcBorders>
              <w:right w:val="single" w:sz="4" w:space="0" w:color="auto"/>
            </w:tcBorders>
          </w:tcPr>
          <w:p w:rsidR="009B4F28" w:rsidRPr="004043ED" w:rsidRDefault="009B4F28" w:rsidP="009B4F28">
            <w:pPr>
              <w:tabs>
                <w:tab w:val="left" w:pos="720"/>
              </w:tabs>
              <w:ind w:right="-450"/>
              <w:jc w:val="both"/>
              <w:rPr>
                <w:b/>
              </w:rPr>
            </w:pPr>
            <w:r w:rsidRPr="004043ED">
              <w:rPr>
                <w:b/>
              </w:rPr>
              <w:t xml:space="preserve">Total </w:t>
            </w:r>
            <w:r>
              <w:rPr>
                <w:b/>
              </w:rPr>
              <w:t>liabilities</w:t>
            </w:r>
          </w:p>
        </w:tc>
        <w:tc>
          <w:tcPr>
            <w:tcW w:w="1472"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2,160,532</w:t>
            </w:r>
          </w:p>
        </w:tc>
        <w:tc>
          <w:tcPr>
            <w:tcW w:w="1450"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2,160,532</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rPr>
                <w:b/>
                <w:u w:val="single"/>
              </w:rPr>
            </w:pPr>
          </w:p>
        </w:tc>
        <w:tc>
          <w:tcPr>
            <w:tcW w:w="1472"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p>
        </w:tc>
        <w:tc>
          <w:tcPr>
            <w:tcW w:w="1450"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p>
        </w:tc>
        <w:tc>
          <w:tcPr>
            <w:tcW w:w="1275" w:type="dxa"/>
            <w:tcBorders>
              <w:top w:val="single" w:sz="4" w:space="0" w:color="auto"/>
              <w:left w:val="single" w:sz="4" w:space="0" w:color="auto"/>
              <w:right w:val="single" w:sz="4" w:space="0" w:color="auto"/>
            </w:tcBorders>
          </w:tcPr>
          <w:p w:rsidR="009B4F28" w:rsidRDefault="009B4F28" w:rsidP="009B4F28">
            <w:pPr>
              <w:ind w:right="-450"/>
              <w:jc w:val="center"/>
            </w:pPr>
          </w:p>
        </w:tc>
      </w:tr>
      <w:tr w:rsidR="009B4F28" w:rsidTr="009B4F28">
        <w:tc>
          <w:tcPr>
            <w:tcW w:w="3849" w:type="dxa"/>
            <w:gridSpan w:val="2"/>
            <w:tcBorders>
              <w:right w:val="single" w:sz="4" w:space="0" w:color="auto"/>
            </w:tcBorders>
          </w:tcPr>
          <w:p w:rsidR="009B4F28" w:rsidRPr="00625F81" w:rsidRDefault="009B4F28" w:rsidP="009B4F28">
            <w:pPr>
              <w:tabs>
                <w:tab w:val="left" w:pos="720"/>
              </w:tabs>
              <w:ind w:right="-450"/>
              <w:jc w:val="both"/>
              <w:rPr>
                <w:b/>
                <w:u w:val="single"/>
              </w:rPr>
            </w:pPr>
            <w:r>
              <w:rPr>
                <w:b/>
                <w:u w:val="single"/>
              </w:rPr>
              <w:t>Equity</w:t>
            </w:r>
          </w:p>
        </w:tc>
        <w:tc>
          <w:tcPr>
            <w:tcW w:w="1472" w:type="dxa"/>
            <w:tcBorders>
              <w:left w:val="single" w:sz="4" w:space="0" w:color="auto"/>
              <w:right w:val="single" w:sz="4" w:space="0" w:color="auto"/>
            </w:tcBorders>
          </w:tcPr>
          <w:p w:rsidR="009B4F28" w:rsidRDefault="009B4F28" w:rsidP="009B4F28">
            <w:pPr>
              <w:tabs>
                <w:tab w:val="left" w:pos="720"/>
              </w:tabs>
              <w:ind w:right="-450"/>
              <w:jc w:val="center"/>
            </w:pP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p>
        </w:tc>
        <w:tc>
          <w:tcPr>
            <w:tcW w:w="1275" w:type="dxa"/>
            <w:tcBorders>
              <w:left w:val="single" w:sz="4" w:space="0" w:color="auto"/>
              <w:right w:val="single" w:sz="4" w:space="0" w:color="auto"/>
            </w:tcBorders>
          </w:tcPr>
          <w:p w:rsidR="009B4F28" w:rsidRDefault="009B4F28" w:rsidP="009B4F28">
            <w:pPr>
              <w:ind w:right="-450"/>
              <w:jc w:val="center"/>
            </w:pP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Share capital</w:t>
            </w:r>
          </w:p>
        </w:tc>
        <w:tc>
          <w:tcPr>
            <w:tcW w:w="1472" w:type="dxa"/>
            <w:tcBorders>
              <w:left w:val="single" w:sz="4" w:space="0" w:color="auto"/>
              <w:right w:val="single" w:sz="4" w:space="0" w:color="auto"/>
            </w:tcBorders>
          </w:tcPr>
          <w:p w:rsidR="009B4F28" w:rsidRDefault="009B4F28" w:rsidP="009B4F28">
            <w:pPr>
              <w:tabs>
                <w:tab w:val="left" w:pos="720"/>
              </w:tabs>
              <w:ind w:right="-450"/>
            </w:pPr>
            <w:r>
              <w:t xml:space="preserve">          570,050</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tabs>
                <w:tab w:val="left" w:pos="720"/>
              </w:tabs>
              <w:ind w:right="-450"/>
            </w:pPr>
            <w:r>
              <w:t xml:space="preserve">      570,050</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Equity portion of RCSLS</w:t>
            </w:r>
          </w:p>
        </w:tc>
        <w:tc>
          <w:tcPr>
            <w:tcW w:w="1472" w:type="dxa"/>
            <w:tcBorders>
              <w:left w:val="single" w:sz="4" w:space="0" w:color="auto"/>
              <w:right w:val="single" w:sz="4" w:space="0" w:color="auto"/>
            </w:tcBorders>
          </w:tcPr>
          <w:p w:rsidR="009B4F28" w:rsidRDefault="009B4F28" w:rsidP="009B4F28">
            <w:pPr>
              <w:tabs>
                <w:tab w:val="left" w:pos="720"/>
              </w:tabs>
              <w:ind w:right="-450"/>
              <w:jc w:val="center"/>
            </w:pPr>
            <w:r>
              <w:t>73,574</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ind w:right="-450"/>
            </w:pPr>
            <w:r>
              <w:t xml:space="preserve">        73,574</w:t>
            </w:r>
          </w:p>
        </w:tc>
      </w:tr>
      <w:tr w:rsidR="009B4F28" w:rsidTr="009B4F28">
        <w:tc>
          <w:tcPr>
            <w:tcW w:w="3849" w:type="dxa"/>
            <w:gridSpan w:val="2"/>
            <w:tcBorders>
              <w:right w:val="single" w:sz="4" w:space="0" w:color="auto"/>
            </w:tcBorders>
          </w:tcPr>
          <w:p w:rsidR="009B4F28" w:rsidRDefault="009B4F28" w:rsidP="00D36F6D">
            <w:pPr>
              <w:tabs>
                <w:tab w:val="left" w:pos="720"/>
              </w:tabs>
              <w:ind w:right="-450"/>
              <w:jc w:val="both"/>
            </w:pPr>
            <w:r>
              <w:t>Foreign currenc</w:t>
            </w:r>
            <w:r w:rsidR="00D36F6D">
              <w:t>y</w:t>
            </w:r>
            <w:r>
              <w:t xml:space="preserve"> translation reserves</w:t>
            </w:r>
          </w:p>
        </w:tc>
        <w:tc>
          <w:tcPr>
            <w:tcW w:w="1472" w:type="dxa"/>
            <w:tcBorders>
              <w:left w:val="single" w:sz="4" w:space="0" w:color="auto"/>
              <w:right w:val="single" w:sz="4" w:space="0" w:color="auto"/>
            </w:tcBorders>
          </w:tcPr>
          <w:p w:rsidR="009B4F28" w:rsidRDefault="009B4F28" w:rsidP="009B4F28">
            <w:pPr>
              <w:tabs>
                <w:tab w:val="left" w:pos="720"/>
              </w:tabs>
              <w:ind w:right="-450"/>
              <w:jc w:val="center"/>
            </w:pPr>
            <w:r>
              <w:t>45,191</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43,459</w:t>
            </w:r>
          </w:p>
        </w:tc>
        <w:tc>
          <w:tcPr>
            <w:tcW w:w="1275" w:type="dxa"/>
            <w:tcBorders>
              <w:left w:val="single" w:sz="4" w:space="0" w:color="auto"/>
              <w:right w:val="single" w:sz="4" w:space="0" w:color="auto"/>
            </w:tcBorders>
          </w:tcPr>
          <w:p w:rsidR="009B4F28" w:rsidRDefault="009B4F28" w:rsidP="009B4F28">
            <w:pPr>
              <w:ind w:right="-450"/>
            </w:pPr>
            <w:r>
              <w:t xml:space="preserve">        88,650</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Capital reserves</w:t>
            </w:r>
          </w:p>
        </w:tc>
        <w:tc>
          <w:tcPr>
            <w:tcW w:w="1472" w:type="dxa"/>
            <w:tcBorders>
              <w:left w:val="single" w:sz="4" w:space="0" w:color="auto"/>
              <w:right w:val="single" w:sz="4" w:space="0" w:color="auto"/>
            </w:tcBorders>
          </w:tcPr>
          <w:p w:rsidR="009B4F28" w:rsidRDefault="009B4F28" w:rsidP="009B4F28">
            <w:pPr>
              <w:tabs>
                <w:tab w:val="left" w:pos="720"/>
              </w:tabs>
              <w:ind w:right="-450"/>
              <w:jc w:val="center"/>
            </w:pPr>
            <w:r>
              <w:t xml:space="preserve"> 4,084</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ind w:right="-450"/>
            </w:pPr>
            <w:r>
              <w:t xml:space="preserve">          4,084</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Asset revaluation reserves</w:t>
            </w:r>
          </w:p>
        </w:tc>
        <w:tc>
          <w:tcPr>
            <w:tcW w:w="1472" w:type="dxa"/>
            <w:tcBorders>
              <w:left w:val="single" w:sz="4" w:space="0" w:color="auto"/>
              <w:right w:val="single" w:sz="4" w:space="0" w:color="auto"/>
            </w:tcBorders>
          </w:tcPr>
          <w:p w:rsidR="009B4F28" w:rsidRDefault="009B4F28" w:rsidP="009B4F28">
            <w:pPr>
              <w:tabs>
                <w:tab w:val="left" w:pos="720"/>
              </w:tabs>
              <w:ind w:right="-450"/>
            </w:pPr>
            <w:r>
              <w:t xml:space="preserve">          244,345</w:t>
            </w:r>
          </w:p>
        </w:tc>
        <w:tc>
          <w:tcPr>
            <w:tcW w:w="1450" w:type="dxa"/>
            <w:tcBorders>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right w:val="single" w:sz="4" w:space="0" w:color="auto"/>
            </w:tcBorders>
          </w:tcPr>
          <w:p w:rsidR="009B4F28" w:rsidRDefault="009B4F28" w:rsidP="009B4F28">
            <w:pPr>
              <w:ind w:right="-450"/>
            </w:pPr>
            <w:r>
              <w:t xml:space="preserve">      244,345</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Retained earnings</w:t>
            </w:r>
          </w:p>
        </w:tc>
        <w:tc>
          <w:tcPr>
            <w:tcW w:w="1472"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71,241</w:t>
            </w:r>
          </w:p>
        </w:tc>
        <w:tc>
          <w:tcPr>
            <w:tcW w:w="1450"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(43,459)</w:t>
            </w:r>
          </w:p>
        </w:tc>
        <w:tc>
          <w:tcPr>
            <w:tcW w:w="1275" w:type="dxa"/>
            <w:tcBorders>
              <w:left w:val="single" w:sz="4" w:space="0" w:color="auto"/>
              <w:bottom w:val="single" w:sz="4" w:space="0" w:color="auto"/>
              <w:right w:val="single" w:sz="4" w:space="0" w:color="auto"/>
            </w:tcBorders>
          </w:tcPr>
          <w:p w:rsidR="009B4F28" w:rsidRDefault="009B4F28" w:rsidP="009B4F28">
            <w:pPr>
              <w:ind w:right="-450"/>
            </w:pPr>
            <w:r>
              <w:t xml:space="preserve">        27,782</w:t>
            </w:r>
          </w:p>
        </w:tc>
      </w:tr>
      <w:tr w:rsidR="009B4F28" w:rsidTr="009B4F28">
        <w:tc>
          <w:tcPr>
            <w:tcW w:w="3849" w:type="dxa"/>
            <w:gridSpan w:val="2"/>
            <w:tcBorders>
              <w:right w:val="single" w:sz="4" w:space="0" w:color="auto"/>
            </w:tcBorders>
          </w:tcPr>
          <w:p w:rsidR="009B4F28" w:rsidRPr="00462E37" w:rsidRDefault="009B4F28" w:rsidP="009B4F28">
            <w:pPr>
              <w:tabs>
                <w:tab w:val="left" w:pos="720"/>
              </w:tabs>
              <w:ind w:right="-450"/>
              <w:jc w:val="both"/>
              <w:rPr>
                <w:b/>
              </w:rPr>
            </w:pPr>
            <w:r w:rsidRPr="00462E37">
              <w:rPr>
                <w:b/>
              </w:rPr>
              <w:t>Equity attributable to owners of the parent</w:t>
            </w:r>
          </w:p>
        </w:tc>
        <w:tc>
          <w:tcPr>
            <w:tcW w:w="1472" w:type="dxa"/>
            <w:tcBorders>
              <w:top w:val="single" w:sz="4" w:space="0" w:color="auto"/>
              <w:left w:val="single" w:sz="4" w:space="0" w:color="auto"/>
              <w:right w:val="single" w:sz="4" w:space="0" w:color="auto"/>
            </w:tcBorders>
          </w:tcPr>
          <w:p w:rsidR="009B4F28" w:rsidRDefault="009B4F28" w:rsidP="009B4F28">
            <w:pPr>
              <w:tabs>
                <w:tab w:val="left" w:pos="720"/>
              </w:tabs>
              <w:ind w:right="-450"/>
            </w:pPr>
            <w:r>
              <w:t xml:space="preserve">       1,008,485</w:t>
            </w:r>
          </w:p>
        </w:tc>
        <w:tc>
          <w:tcPr>
            <w:tcW w:w="1450" w:type="dxa"/>
            <w:tcBorders>
              <w:top w:val="single" w:sz="4" w:space="0" w:color="auto"/>
              <w:left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top w:val="single" w:sz="4" w:space="0" w:color="auto"/>
              <w:left w:val="single" w:sz="4" w:space="0" w:color="auto"/>
              <w:right w:val="single" w:sz="4" w:space="0" w:color="auto"/>
            </w:tcBorders>
          </w:tcPr>
          <w:p w:rsidR="009B4F28" w:rsidRDefault="009B4F28" w:rsidP="009B4F28">
            <w:pPr>
              <w:tabs>
                <w:tab w:val="left" w:pos="720"/>
              </w:tabs>
              <w:ind w:right="-450"/>
            </w:pPr>
            <w:r>
              <w:t xml:space="preserve">   1,008,485</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pPr>
            <w:r>
              <w:t>Non-controlling interests</w:t>
            </w:r>
          </w:p>
        </w:tc>
        <w:tc>
          <w:tcPr>
            <w:tcW w:w="1472"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25,124</w:t>
            </w:r>
          </w:p>
        </w:tc>
        <w:tc>
          <w:tcPr>
            <w:tcW w:w="1450" w:type="dxa"/>
            <w:tcBorders>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25,124</w:t>
            </w:r>
          </w:p>
        </w:tc>
      </w:tr>
      <w:tr w:rsidR="009B4F28" w:rsidTr="009B4F28">
        <w:tc>
          <w:tcPr>
            <w:tcW w:w="3849" w:type="dxa"/>
            <w:gridSpan w:val="2"/>
            <w:tcBorders>
              <w:right w:val="single" w:sz="4" w:space="0" w:color="auto"/>
            </w:tcBorders>
          </w:tcPr>
          <w:p w:rsidR="009B4F28" w:rsidRPr="00EF3FE0" w:rsidRDefault="009B4F28" w:rsidP="009B4F28">
            <w:pPr>
              <w:tabs>
                <w:tab w:val="left" w:pos="720"/>
              </w:tabs>
              <w:ind w:right="-450"/>
              <w:jc w:val="both"/>
              <w:rPr>
                <w:b/>
              </w:rPr>
            </w:pPr>
            <w:r w:rsidRPr="00EF3FE0">
              <w:rPr>
                <w:b/>
              </w:rPr>
              <w:t>Total equity</w:t>
            </w:r>
          </w:p>
        </w:tc>
        <w:tc>
          <w:tcPr>
            <w:tcW w:w="1472"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1,033,609</w:t>
            </w:r>
          </w:p>
        </w:tc>
        <w:tc>
          <w:tcPr>
            <w:tcW w:w="1450"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jc w:val="center"/>
            </w:pPr>
            <w:r>
              <w:t>-</w:t>
            </w:r>
          </w:p>
        </w:tc>
        <w:tc>
          <w:tcPr>
            <w:tcW w:w="1275" w:type="dxa"/>
            <w:tcBorders>
              <w:top w:val="single" w:sz="4" w:space="0" w:color="auto"/>
              <w:left w:val="single" w:sz="4" w:space="0" w:color="auto"/>
              <w:bottom w:val="single" w:sz="4" w:space="0" w:color="auto"/>
              <w:right w:val="single" w:sz="4" w:space="0" w:color="auto"/>
            </w:tcBorders>
          </w:tcPr>
          <w:p w:rsidR="009B4F28" w:rsidRDefault="009B4F28" w:rsidP="009B4F28">
            <w:pPr>
              <w:tabs>
                <w:tab w:val="left" w:pos="720"/>
              </w:tabs>
              <w:ind w:right="-450"/>
            </w:pPr>
            <w:r>
              <w:t xml:space="preserve">   1,033,609</w:t>
            </w:r>
          </w:p>
        </w:tc>
      </w:tr>
      <w:tr w:rsidR="009B4F28" w:rsidTr="009B4F28">
        <w:tc>
          <w:tcPr>
            <w:tcW w:w="3849" w:type="dxa"/>
            <w:gridSpan w:val="2"/>
            <w:tcBorders>
              <w:right w:val="single" w:sz="4" w:space="0" w:color="auto"/>
            </w:tcBorders>
          </w:tcPr>
          <w:p w:rsidR="009B4F28" w:rsidRDefault="009B4F28" w:rsidP="009B4F28">
            <w:pPr>
              <w:tabs>
                <w:tab w:val="left" w:pos="720"/>
              </w:tabs>
              <w:ind w:right="-450"/>
              <w:jc w:val="both"/>
              <w:rPr>
                <w:b/>
              </w:rPr>
            </w:pPr>
          </w:p>
          <w:p w:rsidR="009B4F28" w:rsidRPr="00EF3FE0" w:rsidRDefault="009B4F28" w:rsidP="009B4F28">
            <w:pPr>
              <w:tabs>
                <w:tab w:val="left" w:pos="720"/>
              </w:tabs>
              <w:ind w:right="-450"/>
              <w:jc w:val="both"/>
              <w:rPr>
                <w:b/>
              </w:rPr>
            </w:pPr>
            <w:r>
              <w:rPr>
                <w:b/>
              </w:rPr>
              <w:t>Total equity and liabilities</w:t>
            </w:r>
          </w:p>
        </w:tc>
        <w:tc>
          <w:tcPr>
            <w:tcW w:w="1472"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pPr>
          </w:p>
          <w:p w:rsidR="009B4F28" w:rsidRDefault="009B4F28" w:rsidP="009B4F28">
            <w:pPr>
              <w:tabs>
                <w:tab w:val="left" w:pos="720"/>
              </w:tabs>
              <w:ind w:right="-450"/>
            </w:pPr>
            <w:r>
              <w:t xml:space="preserve">       3,194,141</w:t>
            </w:r>
          </w:p>
        </w:tc>
        <w:tc>
          <w:tcPr>
            <w:tcW w:w="1450"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jc w:val="center"/>
            </w:pPr>
          </w:p>
          <w:p w:rsidR="009B4F28" w:rsidRDefault="009B4F28" w:rsidP="009B4F28">
            <w:pPr>
              <w:tabs>
                <w:tab w:val="left" w:pos="720"/>
              </w:tabs>
              <w:ind w:right="-450"/>
              <w:jc w:val="center"/>
            </w:pPr>
            <w:r>
              <w:t>-</w:t>
            </w:r>
          </w:p>
        </w:tc>
        <w:tc>
          <w:tcPr>
            <w:tcW w:w="1275" w:type="dxa"/>
            <w:tcBorders>
              <w:top w:val="single" w:sz="4" w:space="0" w:color="auto"/>
              <w:left w:val="single" w:sz="4" w:space="0" w:color="auto"/>
              <w:bottom w:val="single" w:sz="12" w:space="0" w:color="auto"/>
              <w:right w:val="single" w:sz="4" w:space="0" w:color="auto"/>
            </w:tcBorders>
          </w:tcPr>
          <w:p w:rsidR="009B4F28" w:rsidRDefault="009B4F28" w:rsidP="009B4F28">
            <w:pPr>
              <w:tabs>
                <w:tab w:val="left" w:pos="720"/>
              </w:tabs>
              <w:ind w:right="-450"/>
            </w:pPr>
          </w:p>
          <w:p w:rsidR="009B4F28" w:rsidRDefault="009B4F28" w:rsidP="009B4F28">
            <w:pPr>
              <w:tabs>
                <w:tab w:val="left" w:pos="720"/>
              </w:tabs>
              <w:ind w:right="-450"/>
            </w:pPr>
            <w:r>
              <w:t xml:space="preserve">   3,194,141</w:t>
            </w:r>
          </w:p>
        </w:tc>
      </w:tr>
    </w:tbl>
    <w:p w:rsidR="009B4F28" w:rsidRDefault="009B4F28" w:rsidP="0021213C">
      <w:pPr>
        <w:autoSpaceDE w:val="0"/>
        <w:autoSpaceDN w:val="0"/>
        <w:adjustRightInd w:val="0"/>
        <w:rPr>
          <w:u w:val="single"/>
        </w:rPr>
      </w:pPr>
    </w:p>
    <w:p w:rsidR="0021213C" w:rsidRDefault="0021213C" w:rsidP="009D0FF0">
      <w:pPr>
        <w:autoSpaceDE w:val="0"/>
        <w:autoSpaceDN w:val="0"/>
        <w:adjustRightInd w:val="0"/>
        <w:rPr>
          <w:u w:val="single"/>
        </w:rPr>
      </w:pPr>
    </w:p>
    <w:p w:rsidR="009D0FF0" w:rsidRDefault="009D0FF0" w:rsidP="009D0FF0">
      <w:pPr>
        <w:autoSpaceDE w:val="0"/>
        <w:autoSpaceDN w:val="0"/>
        <w:adjustRightInd w:val="0"/>
        <w:ind w:left="720" w:right="-450"/>
        <w:jc w:val="both"/>
      </w:pPr>
      <w:r w:rsidRPr="00800493">
        <w:t>The transition from FRS to MFRS has not had a material impact on the statements of financial position,</w:t>
      </w:r>
      <w:r>
        <w:t xml:space="preserve"> </w:t>
      </w:r>
      <w:r w:rsidRPr="00800493">
        <w:t>statements of comprehensive income and statements of cash flows.</w:t>
      </w:r>
    </w:p>
    <w:p w:rsidR="00191323" w:rsidRDefault="00191323" w:rsidP="009D0FF0">
      <w:pPr>
        <w:autoSpaceDE w:val="0"/>
        <w:autoSpaceDN w:val="0"/>
        <w:adjustRightInd w:val="0"/>
        <w:ind w:left="720" w:right="-450"/>
        <w:jc w:val="both"/>
      </w:pPr>
    </w:p>
    <w:p w:rsidR="00191323" w:rsidRDefault="00191323" w:rsidP="009D0FF0">
      <w:pPr>
        <w:autoSpaceDE w:val="0"/>
        <w:autoSpaceDN w:val="0"/>
        <w:adjustRightInd w:val="0"/>
        <w:ind w:left="720" w:right="-450"/>
        <w:jc w:val="both"/>
      </w:pPr>
    </w:p>
    <w:p w:rsidR="00191323" w:rsidRDefault="00191323" w:rsidP="00191323">
      <w:pPr>
        <w:pStyle w:val="Default"/>
        <w:ind w:firstLine="270"/>
        <w:rPr>
          <w:rFonts w:ascii="Times New Roman" w:hAnsi="Times New Roman" w:cs="Times New Roman"/>
          <w:b/>
          <w:bCs/>
          <w:sz w:val="20"/>
          <w:szCs w:val="20"/>
        </w:rPr>
      </w:pPr>
      <w:r w:rsidRPr="00191323">
        <w:rPr>
          <w:rFonts w:ascii="Times New Roman" w:hAnsi="Times New Roman" w:cs="Times New Roman"/>
          <w:b/>
          <w:bCs/>
          <w:sz w:val="20"/>
          <w:szCs w:val="20"/>
        </w:rPr>
        <w:t>2.2</w:t>
      </w:r>
      <w:r>
        <w:rPr>
          <w:b/>
          <w:bCs/>
        </w:rPr>
        <w:tab/>
      </w:r>
      <w:r w:rsidRPr="00062FB1">
        <w:rPr>
          <w:rFonts w:ascii="Times New Roman" w:hAnsi="Times New Roman" w:cs="Times New Roman"/>
          <w:b/>
          <w:bCs/>
          <w:sz w:val="20"/>
          <w:szCs w:val="20"/>
        </w:rPr>
        <w:t>MFRSs, Amendments to MFRSs and IC Interpretation issued but not yet effective</w:t>
      </w:r>
    </w:p>
    <w:p w:rsidR="00191323" w:rsidRDefault="00191323" w:rsidP="00191323">
      <w:pPr>
        <w:pStyle w:val="Default"/>
        <w:ind w:firstLine="270"/>
        <w:rPr>
          <w:rFonts w:ascii="Times New Roman" w:hAnsi="Times New Roman" w:cs="Times New Roman"/>
          <w:b/>
          <w:bCs/>
          <w:sz w:val="20"/>
          <w:szCs w:val="20"/>
        </w:rPr>
      </w:pPr>
      <w:r>
        <w:rPr>
          <w:rFonts w:ascii="Times New Roman" w:hAnsi="Times New Roman" w:cs="Times New Roman"/>
          <w:b/>
          <w:bCs/>
          <w:sz w:val="20"/>
          <w:szCs w:val="20"/>
        </w:rPr>
        <w:tab/>
      </w:r>
    </w:p>
    <w:p w:rsidR="00191323" w:rsidRPr="00191323" w:rsidRDefault="00191323" w:rsidP="00191323">
      <w:pPr>
        <w:pStyle w:val="Default"/>
        <w:ind w:left="720" w:right="-450"/>
        <w:jc w:val="both"/>
        <w:rPr>
          <w:rFonts w:ascii="Times New Roman" w:hAnsi="Times New Roman" w:cs="Times New Roman"/>
          <w:sz w:val="20"/>
          <w:szCs w:val="20"/>
        </w:rPr>
      </w:pPr>
      <w:r>
        <w:rPr>
          <w:rFonts w:ascii="Times New Roman" w:hAnsi="Times New Roman" w:cs="Times New Roman"/>
          <w:bCs/>
          <w:sz w:val="20"/>
          <w:szCs w:val="20"/>
        </w:rPr>
        <w:t>At the date of authorization of these interim financial statements, the following MFRSs, Amendments to MFRSs and IC Interpretation were issued but not yet effective and have not been applied by the Group:</w:t>
      </w:r>
    </w:p>
    <w:p w:rsidR="00191323" w:rsidRDefault="00191323" w:rsidP="00191323">
      <w:pPr>
        <w:pStyle w:val="BodyTextIndent3"/>
        <w:ind w:right="-450" w:hanging="360"/>
      </w:pPr>
    </w:p>
    <w:tbl>
      <w:tblPr>
        <w:tblW w:w="9298" w:type="dxa"/>
        <w:tblInd w:w="710" w:type="dxa"/>
        <w:tblLook w:val="01E0"/>
      </w:tblPr>
      <w:tblGrid>
        <w:gridCol w:w="2638"/>
        <w:gridCol w:w="4590"/>
        <w:gridCol w:w="2070"/>
      </w:tblGrid>
      <w:tr w:rsidR="0005522C" w:rsidRPr="00625F81" w:rsidTr="00804113">
        <w:tc>
          <w:tcPr>
            <w:tcW w:w="7228" w:type="dxa"/>
            <w:gridSpan w:val="2"/>
          </w:tcPr>
          <w:p w:rsidR="0005522C" w:rsidRPr="00625F81" w:rsidRDefault="0005522C" w:rsidP="0005522C">
            <w:pPr>
              <w:tabs>
                <w:tab w:val="left" w:pos="720"/>
              </w:tabs>
              <w:ind w:right="-450"/>
              <w:jc w:val="both"/>
              <w:rPr>
                <w:b/>
              </w:rPr>
            </w:pPr>
          </w:p>
          <w:p w:rsidR="0005522C" w:rsidRDefault="0005522C" w:rsidP="0005522C">
            <w:pPr>
              <w:pStyle w:val="BodyText"/>
              <w:tabs>
                <w:tab w:val="left" w:pos="360"/>
                <w:tab w:val="left" w:pos="540"/>
                <w:tab w:val="left" w:pos="630"/>
                <w:tab w:val="left" w:pos="1080"/>
              </w:tabs>
              <w:ind w:left="-18" w:right="-18"/>
              <w:jc w:val="left"/>
              <w:rPr>
                <w:b/>
                <w:sz w:val="18"/>
              </w:rPr>
            </w:pPr>
          </w:p>
          <w:p w:rsidR="0005522C" w:rsidRDefault="0005522C" w:rsidP="0005522C">
            <w:pPr>
              <w:pStyle w:val="BodyText"/>
              <w:tabs>
                <w:tab w:val="left" w:pos="360"/>
                <w:tab w:val="left" w:pos="540"/>
                <w:tab w:val="left" w:pos="630"/>
                <w:tab w:val="left" w:pos="1080"/>
              </w:tabs>
              <w:ind w:left="-18" w:right="-18"/>
              <w:jc w:val="left"/>
              <w:rPr>
                <w:b/>
                <w:sz w:val="18"/>
              </w:rPr>
            </w:pPr>
          </w:p>
          <w:p w:rsidR="0005522C" w:rsidRPr="00625F81" w:rsidRDefault="0005522C" w:rsidP="0005522C">
            <w:pPr>
              <w:pStyle w:val="BodyText"/>
              <w:tabs>
                <w:tab w:val="left" w:pos="360"/>
                <w:tab w:val="left" w:pos="540"/>
                <w:tab w:val="left" w:pos="630"/>
                <w:tab w:val="left" w:pos="1080"/>
              </w:tabs>
              <w:ind w:left="-18" w:right="-18"/>
              <w:jc w:val="left"/>
              <w:rPr>
                <w:b/>
                <w:sz w:val="18"/>
              </w:rPr>
            </w:pPr>
            <w:r>
              <w:rPr>
                <w:b/>
                <w:sz w:val="18"/>
              </w:rPr>
              <w:t>MFRSs, Amendments to MFRSs and IC Interpretation</w:t>
            </w:r>
          </w:p>
        </w:tc>
        <w:tc>
          <w:tcPr>
            <w:tcW w:w="2070" w:type="dxa"/>
          </w:tcPr>
          <w:p w:rsidR="0005522C" w:rsidRDefault="0005522C" w:rsidP="0005522C">
            <w:pPr>
              <w:pStyle w:val="BodyText"/>
              <w:tabs>
                <w:tab w:val="left" w:pos="360"/>
                <w:tab w:val="left" w:pos="540"/>
                <w:tab w:val="left" w:pos="630"/>
                <w:tab w:val="left" w:pos="1080"/>
              </w:tabs>
              <w:ind w:left="-18" w:right="-18"/>
              <w:jc w:val="center"/>
              <w:rPr>
                <w:b/>
                <w:sz w:val="18"/>
              </w:rPr>
            </w:pPr>
          </w:p>
          <w:p w:rsidR="0005522C" w:rsidRPr="00625F81" w:rsidRDefault="0005522C" w:rsidP="00804113">
            <w:pPr>
              <w:pStyle w:val="BodyText"/>
              <w:tabs>
                <w:tab w:val="left" w:pos="360"/>
                <w:tab w:val="left" w:pos="540"/>
                <w:tab w:val="left" w:pos="630"/>
                <w:tab w:val="left" w:pos="1080"/>
              </w:tabs>
              <w:ind w:left="-18" w:right="-18"/>
              <w:jc w:val="right"/>
              <w:rPr>
                <w:b/>
                <w:sz w:val="18"/>
              </w:rPr>
            </w:pPr>
            <w:r>
              <w:rPr>
                <w:b/>
                <w:sz w:val="18"/>
              </w:rPr>
              <w:t>Effective for annual periods beginning on or after</w:t>
            </w:r>
          </w:p>
        </w:tc>
      </w:tr>
      <w:tr w:rsidR="0005522C" w:rsidTr="00804113">
        <w:tc>
          <w:tcPr>
            <w:tcW w:w="2638" w:type="dxa"/>
          </w:tcPr>
          <w:p w:rsidR="0005522C" w:rsidRPr="00625F81" w:rsidRDefault="0005522C" w:rsidP="0005522C">
            <w:pPr>
              <w:tabs>
                <w:tab w:val="left" w:pos="720"/>
              </w:tabs>
              <w:ind w:right="-450"/>
              <w:jc w:val="both"/>
              <w:rPr>
                <w:b/>
                <w:u w:val="single"/>
              </w:rPr>
            </w:pPr>
          </w:p>
        </w:tc>
        <w:tc>
          <w:tcPr>
            <w:tcW w:w="4590" w:type="dxa"/>
          </w:tcPr>
          <w:p w:rsidR="0005522C" w:rsidRDefault="0005522C" w:rsidP="0005522C">
            <w:pPr>
              <w:tabs>
                <w:tab w:val="left" w:pos="720"/>
              </w:tabs>
              <w:ind w:right="-450"/>
              <w:jc w:val="center"/>
            </w:pPr>
          </w:p>
        </w:tc>
        <w:tc>
          <w:tcPr>
            <w:tcW w:w="2070" w:type="dxa"/>
          </w:tcPr>
          <w:p w:rsidR="0005522C" w:rsidRDefault="0005522C" w:rsidP="0005522C">
            <w:pPr>
              <w:tabs>
                <w:tab w:val="left" w:pos="720"/>
              </w:tabs>
              <w:ind w:right="-450"/>
              <w:jc w:val="center"/>
            </w:pPr>
          </w:p>
        </w:tc>
      </w:tr>
      <w:tr w:rsidR="0005522C" w:rsidTr="00804113">
        <w:tc>
          <w:tcPr>
            <w:tcW w:w="2638" w:type="dxa"/>
          </w:tcPr>
          <w:p w:rsidR="0005522C" w:rsidRDefault="00804113" w:rsidP="00804113">
            <w:pPr>
              <w:tabs>
                <w:tab w:val="left" w:pos="720"/>
              </w:tabs>
              <w:ind w:right="-450"/>
            </w:pPr>
            <w:r>
              <w:t>MFRS 9</w:t>
            </w:r>
          </w:p>
        </w:tc>
        <w:tc>
          <w:tcPr>
            <w:tcW w:w="4590" w:type="dxa"/>
          </w:tcPr>
          <w:p w:rsidR="0005522C" w:rsidRDefault="00804113" w:rsidP="00804113">
            <w:pPr>
              <w:tabs>
                <w:tab w:val="left" w:pos="720"/>
              </w:tabs>
              <w:ind w:right="-450"/>
            </w:pPr>
            <w:r>
              <w:t>Financial Instruments (IFRS 9 issued by IASB in November 2009 and October 2010)</w:t>
            </w:r>
          </w:p>
        </w:tc>
        <w:tc>
          <w:tcPr>
            <w:tcW w:w="2070" w:type="dxa"/>
          </w:tcPr>
          <w:p w:rsidR="0005522C" w:rsidRDefault="00804113" w:rsidP="00885E3B">
            <w:pPr>
              <w:tabs>
                <w:tab w:val="left" w:pos="720"/>
              </w:tabs>
              <w:ind w:right="-50"/>
              <w:jc w:val="right"/>
            </w:pPr>
            <w:r>
              <w:t>1 January 2015</w:t>
            </w:r>
          </w:p>
        </w:tc>
      </w:tr>
      <w:tr w:rsidR="00804113" w:rsidTr="00804113">
        <w:tc>
          <w:tcPr>
            <w:tcW w:w="2638" w:type="dxa"/>
          </w:tcPr>
          <w:p w:rsidR="00804113" w:rsidRDefault="00804113" w:rsidP="00804113">
            <w:pPr>
              <w:tabs>
                <w:tab w:val="left" w:pos="720"/>
              </w:tabs>
              <w:ind w:right="-450"/>
            </w:pPr>
            <w:r>
              <w:t>MFRS 10</w:t>
            </w:r>
          </w:p>
        </w:tc>
        <w:tc>
          <w:tcPr>
            <w:tcW w:w="4590" w:type="dxa"/>
          </w:tcPr>
          <w:p w:rsidR="00804113" w:rsidRDefault="00804113" w:rsidP="00804113">
            <w:pPr>
              <w:tabs>
                <w:tab w:val="left" w:pos="720"/>
              </w:tabs>
              <w:ind w:right="-450"/>
            </w:pPr>
            <w:r>
              <w:t>Consolidated Financial Statements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11</w:t>
            </w:r>
          </w:p>
        </w:tc>
        <w:tc>
          <w:tcPr>
            <w:tcW w:w="4590" w:type="dxa"/>
          </w:tcPr>
          <w:p w:rsidR="00804113" w:rsidRDefault="00804113" w:rsidP="00804113">
            <w:pPr>
              <w:tabs>
                <w:tab w:val="left" w:pos="720"/>
              </w:tabs>
              <w:ind w:right="-450"/>
            </w:pPr>
            <w:r>
              <w:t>Joint Arrangements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12</w:t>
            </w:r>
          </w:p>
        </w:tc>
        <w:tc>
          <w:tcPr>
            <w:tcW w:w="4590" w:type="dxa"/>
          </w:tcPr>
          <w:p w:rsidR="00804113" w:rsidRDefault="00804113" w:rsidP="00804113">
            <w:pPr>
              <w:tabs>
                <w:tab w:val="left" w:pos="720"/>
              </w:tabs>
              <w:ind w:right="-450"/>
            </w:pPr>
            <w:r>
              <w:t>Disclosure of Interests in Other Entities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13</w:t>
            </w:r>
          </w:p>
        </w:tc>
        <w:tc>
          <w:tcPr>
            <w:tcW w:w="4590" w:type="dxa"/>
          </w:tcPr>
          <w:p w:rsidR="00804113" w:rsidRDefault="00804113" w:rsidP="00804113">
            <w:pPr>
              <w:tabs>
                <w:tab w:val="left" w:pos="720"/>
              </w:tabs>
              <w:ind w:right="-450"/>
            </w:pPr>
            <w:r>
              <w:t>Fair Value Measurement</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119</w:t>
            </w:r>
          </w:p>
        </w:tc>
        <w:tc>
          <w:tcPr>
            <w:tcW w:w="4590" w:type="dxa"/>
          </w:tcPr>
          <w:p w:rsidR="00804113" w:rsidRDefault="00804113" w:rsidP="00804113">
            <w:pPr>
              <w:tabs>
                <w:tab w:val="left" w:pos="720"/>
              </w:tabs>
              <w:ind w:right="-450"/>
            </w:pPr>
            <w:r>
              <w:t>Employee Benefits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127</w:t>
            </w:r>
          </w:p>
        </w:tc>
        <w:tc>
          <w:tcPr>
            <w:tcW w:w="4590" w:type="dxa"/>
          </w:tcPr>
          <w:p w:rsidR="00804113" w:rsidRDefault="00804113" w:rsidP="00804113">
            <w:pPr>
              <w:tabs>
                <w:tab w:val="left" w:pos="720"/>
              </w:tabs>
              <w:ind w:right="-450"/>
            </w:pPr>
            <w:r>
              <w:t>Separate Financial Statements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MFRS 128</w:t>
            </w:r>
          </w:p>
        </w:tc>
        <w:tc>
          <w:tcPr>
            <w:tcW w:w="4590" w:type="dxa"/>
          </w:tcPr>
          <w:p w:rsidR="00804113" w:rsidRDefault="00804113" w:rsidP="00804113">
            <w:pPr>
              <w:tabs>
                <w:tab w:val="left" w:pos="720"/>
              </w:tabs>
              <w:ind w:right="-450"/>
            </w:pPr>
            <w:r>
              <w:t>Investments in Associates and Joint Ventures</w:t>
            </w:r>
          </w:p>
        </w:tc>
        <w:tc>
          <w:tcPr>
            <w:tcW w:w="2070" w:type="dxa"/>
          </w:tcPr>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Amendments to MFRS 7</w:t>
            </w:r>
          </w:p>
        </w:tc>
        <w:tc>
          <w:tcPr>
            <w:tcW w:w="4590" w:type="dxa"/>
          </w:tcPr>
          <w:p w:rsidR="00804113" w:rsidRDefault="00804113" w:rsidP="00804113">
            <w:pPr>
              <w:tabs>
                <w:tab w:val="left" w:pos="720"/>
              </w:tabs>
              <w:ind w:right="-450"/>
            </w:pPr>
            <w:r>
              <w:t>Disclosures – Offsetting Financial Assets and Financial Liabilities</w:t>
            </w:r>
          </w:p>
        </w:tc>
        <w:tc>
          <w:tcPr>
            <w:tcW w:w="2070" w:type="dxa"/>
          </w:tcPr>
          <w:p w:rsidR="00804113" w:rsidRDefault="00804113" w:rsidP="00885E3B">
            <w:pPr>
              <w:tabs>
                <w:tab w:val="left" w:pos="720"/>
              </w:tabs>
              <w:ind w:right="-450"/>
              <w:jc w:val="right"/>
            </w:pPr>
          </w:p>
          <w:p w:rsidR="00804113" w:rsidRDefault="00804113" w:rsidP="00885E3B">
            <w:pPr>
              <w:tabs>
                <w:tab w:val="left" w:pos="720"/>
              </w:tabs>
              <w:ind w:right="-50"/>
              <w:jc w:val="right"/>
            </w:pPr>
            <w:r>
              <w:t>1 January 2013</w:t>
            </w:r>
          </w:p>
        </w:tc>
      </w:tr>
      <w:tr w:rsidR="00804113" w:rsidTr="00804113">
        <w:tc>
          <w:tcPr>
            <w:tcW w:w="2638" w:type="dxa"/>
          </w:tcPr>
          <w:p w:rsidR="00804113" w:rsidRDefault="00804113" w:rsidP="00804113">
            <w:pPr>
              <w:tabs>
                <w:tab w:val="left" w:pos="720"/>
              </w:tabs>
              <w:ind w:right="-450"/>
            </w:pPr>
            <w:r>
              <w:t>Amendments to MFRS 101</w:t>
            </w:r>
          </w:p>
        </w:tc>
        <w:tc>
          <w:tcPr>
            <w:tcW w:w="4590" w:type="dxa"/>
          </w:tcPr>
          <w:p w:rsidR="00804113" w:rsidRDefault="00804113" w:rsidP="00804113">
            <w:pPr>
              <w:tabs>
                <w:tab w:val="left" w:pos="720"/>
              </w:tabs>
              <w:ind w:right="-450"/>
            </w:pPr>
            <w:r>
              <w:t>Presentation of Items of Other Comprehensive Income</w:t>
            </w:r>
          </w:p>
        </w:tc>
        <w:tc>
          <w:tcPr>
            <w:tcW w:w="2070" w:type="dxa"/>
          </w:tcPr>
          <w:p w:rsidR="00804113" w:rsidRDefault="00804113" w:rsidP="00885E3B">
            <w:pPr>
              <w:tabs>
                <w:tab w:val="left" w:pos="720"/>
              </w:tabs>
              <w:ind w:right="-50"/>
              <w:jc w:val="right"/>
            </w:pPr>
            <w:r>
              <w:t>1 J</w:t>
            </w:r>
            <w:r w:rsidR="00885E3B">
              <w:t>uly</w:t>
            </w:r>
            <w:r>
              <w:t xml:space="preserve"> 201</w:t>
            </w:r>
            <w:r w:rsidR="00885E3B">
              <w:t>2</w:t>
            </w:r>
          </w:p>
        </w:tc>
      </w:tr>
      <w:tr w:rsidR="003B6A72" w:rsidTr="009B4F28">
        <w:tc>
          <w:tcPr>
            <w:tcW w:w="7228" w:type="dxa"/>
            <w:gridSpan w:val="2"/>
          </w:tcPr>
          <w:p w:rsidR="003B6A72" w:rsidRPr="00625F81" w:rsidRDefault="003B6A72" w:rsidP="009B4F28">
            <w:pPr>
              <w:tabs>
                <w:tab w:val="left" w:pos="720"/>
              </w:tabs>
              <w:ind w:right="-450"/>
              <w:jc w:val="both"/>
              <w:rPr>
                <w:b/>
              </w:rPr>
            </w:pPr>
          </w:p>
          <w:p w:rsidR="003B6A72" w:rsidRDefault="003B6A72" w:rsidP="009B4F28">
            <w:pPr>
              <w:pStyle w:val="BodyText"/>
              <w:tabs>
                <w:tab w:val="left" w:pos="360"/>
                <w:tab w:val="left" w:pos="540"/>
                <w:tab w:val="left" w:pos="630"/>
                <w:tab w:val="left" w:pos="1080"/>
              </w:tabs>
              <w:ind w:left="-18" w:right="-18"/>
              <w:jc w:val="left"/>
              <w:rPr>
                <w:b/>
                <w:sz w:val="18"/>
              </w:rPr>
            </w:pPr>
          </w:p>
          <w:p w:rsidR="003B6A72" w:rsidRDefault="003B6A72" w:rsidP="009B4F28">
            <w:pPr>
              <w:pStyle w:val="BodyText"/>
              <w:tabs>
                <w:tab w:val="left" w:pos="360"/>
                <w:tab w:val="left" w:pos="540"/>
                <w:tab w:val="left" w:pos="630"/>
                <w:tab w:val="left" w:pos="1080"/>
              </w:tabs>
              <w:ind w:left="-18" w:right="-18"/>
              <w:jc w:val="left"/>
              <w:rPr>
                <w:b/>
                <w:sz w:val="18"/>
              </w:rPr>
            </w:pPr>
          </w:p>
          <w:p w:rsidR="003B6A72" w:rsidRDefault="003B6A72" w:rsidP="009B4F28">
            <w:pPr>
              <w:pStyle w:val="BodyText"/>
              <w:tabs>
                <w:tab w:val="left" w:pos="360"/>
                <w:tab w:val="left" w:pos="540"/>
                <w:tab w:val="left" w:pos="630"/>
                <w:tab w:val="left" w:pos="1080"/>
              </w:tabs>
              <w:ind w:left="-18" w:right="-18"/>
              <w:jc w:val="left"/>
              <w:rPr>
                <w:b/>
                <w:sz w:val="18"/>
              </w:rPr>
            </w:pPr>
            <w:r>
              <w:rPr>
                <w:b/>
                <w:sz w:val="18"/>
              </w:rPr>
              <w:t>MFRSs, Amendments to MFRSs and IC Interpretation</w:t>
            </w:r>
          </w:p>
          <w:p w:rsidR="003B6A72" w:rsidRPr="00625F81" w:rsidRDefault="003B6A72" w:rsidP="009B4F28">
            <w:pPr>
              <w:pStyle w:val="BodyText"/>
              <w:tabs>
                <w:tab w:val="left" w:pos="360"/>
                <w:tab w:val="left" w:pos="540"/>
                <w:tab w:val="left" w:pos="630"/>
                <w:tab w:val="left" w:pos="1080"/>
              </w:tabs>
              <w:ind w:left="-18" w:right="-18"/>
              <w:jc w:val="left"/>
              <w:rPr>
                <w:b/>
                <w:sz w:val="18"/>
              </w:rPr>
            </w:pPr>
          </w:p>
        </w:tc>
        <w:tc>
          <w:tcPr>
            <w:tcW w:w="2070" w:type="dxa"/>
          </w:tcPr>
          <w:p w:rsidR="003B6A72" w:rsidRDefault="003B6A72" w:rsidP="00EB666A">
            <w:pPr>
              <w:pStyle w:val="BodyText"/>
              <w:tabs>
                <w:tab w:val="left" w:pos="360"/>
                <w:tab w:val="left" w:pos="540"/>
                <w:tab w:val="left" w:pos="630"/>
                <w:tab w:val="left" w:pos="1080"/>
              </w:tabs>
              <w:ind w:left="-18" w:right="-18"/>
              <w:jc w:val="center"/>
              <w:rPr>
                <w:b/>
                <w:sz w:val="18"/>
              </w:rPr>
            </w:pPr>
          </w:p>
          <w:p w:rsidR="003B6A72" w:rsidRPr="00625F81" w:rsidRDefault="003B6A72" w:rsidP="00EB666A">
            <w:pPr>
              <w:pStyle w:val="BodyText"/>
              <w:tabs>
                <w:tab w:val="left" w:pos="360"/>
                <w:tab w:val="left" w:pos="540"/>
                <w:tab w:val="left" w:pos="630"/>
                <w:tab w:val="left" w:pos="1080"/>
              </w:tabs>
              <w:ind w:left="-18" w:right="-18"/>
              <w:jc w:val="right"/>
              <w:rPr>
                <w:b/>
                <w:sz w:val="18"/>
              </w:rPr>
            </w:pPr>
            <w:r>
              <w:rPr>
                <w:b/>
                <w:sz w:val="18"/>
              </w:rPr>
              <w:t>Effective for annual periods beginning on or after</w:t>
            </w:r>
          </w:p>
        </w:tc>
      </w:tr>
      <w:tr w:rsidR="003B6A72" w:rsidTr="00804113">
        <w:tc>
          <w:tcPr>
            <w:tcW w:w="2638" w:type="dxa"/>
          </w:tcPr>
          <w:p w:rsidR="003B6A72" w:rsidRDefault="003B6A72" w:rsidP="00885E3B">
            <w:pPr>
              <w:tabs>
                <w:tab w:val="left" w:pos="720"/>
              </w:tabs>
              <w:ind w:right="-450"/>
            </w:pPr>
            <w:r>
              <w:t>Amendments to MFRS 132</w:t>
            </w:r>
          </w:p>
        </w:tc>
        <w:tc>
          <w:tcPr>
            <w:tcW w:w="4590" w:type="dxa"/>
          </w:tcPr>
          <w:p w:rsidR="003B6A72" w:rsidRDefault="003B6A72" w:rsidP="00CE6CB6">
            <w:pPr>
              <w:tabs>
                <w:tab w:val="left" w:pos="720"/>
              </w:tabs>
              <w:ind w:right="-450"/>
            </w:pPr>
            <w:r>
              <w:t xml:space="preserve">Offsetting Financial Assets and Financial Liabilities </w:t>
            </w:r>
          </w:p>
        </w:tc>
        <w:tc>
          <w:tcPr>
            <w:tcW w:w="2070" w:type="dxa"/>
          </w:tcPr>
          <w:p w:rsidR="003B6A72" w:rsidRDefault="003B6A72" w:rsidP="00885E3B">
            <w:pPr>
              <w:tabs>
                <w:tab w:val="left" w:pos="720"/>
              </w:tabs>
              <w:ind w:right="-50"/>
              <w:jc w:val="right"/>
            </w:pPr>
            <w:r>
              <w:t>1 January 2014</w:t>
            </w:r>
          </w:p>
        </w:tc>
      </w:tr>
      <w:tr w:rsidR="003B6A72" w:rsidTr="00804113">
        <w:tc>
          <w:tcPr>
            <w:tcW w:w="2638" w:type="dxa"/>
          </w:tcPr>
          <w:p w:rsidR="003B6A72" w:rsidRDefault="003B6A72" w:rsidP="00804113">
            <w:pPr>
              <w:tabs>
                <w:tab w:val="left" w:pos="720"/>
              </w:tabs>
              <w:ind w:right="-450"/>
            </w:pPr>
            <w:r>
              <w:t>IC Interpretation 20</w:t>
            </w:r>
          </w:p>
        </w:tc>
        <w:tc>
          <w:tcPr>
            <w:tcW w:w="4590" w:type="dxa"/>
          </w:tcPr>
          <w:p w:rsidR="003B6A72" w:rsidRDefault="003B6A72" w:rsidP="00885E3B">
            <w:pPr>
              <w:tabs>
                <w:tab w:val="left" w:pos="720"/>
              </w:tabs>
              <w:ind w:right="-450"/>
            </w:pPr>
            <w:r>
              <w:t xml:space="preserve">Stripping Costs in the Production Phase of a Surface </w:t>
            </w:r>
          </w:p>
          <w:p w:rsidR="003B6A72" w:rsidRDefault="003B6A72" w:rsidP="00885E3B">
            <w:pPr>
              <w:tabs>
                <w:tab w:val="left" w:pos="720"/>
              </w:tabs>
              <w:ind w:right="-450"/>
            </w:pPr>
            <w:r>
              <w:t>Mine</w:t>
            </w:r>
          </w:p>
        </w:tc>
        <w:tc>
          <w:tcPr>
            <w:tcW w:w="2070" w:type="dxa"/>
          </w:tcPr>
          <w:p w:rsidR="003B6A72" w:rsidRDefault="003B6A72" w:rsidP="00885E3B">
            <w:pPr>
              <w:tabs>
                <w:tab w:val="left" w:pos="720"/>
              </w:tabs>
              <w:ind w:right="-50"/>
              <w:jc w:val="right"/>
            </w:pPr>
          </w:p>
          <w:p w:rsidR="003B6A72" w:rsidRDefault="003B6A72" w:rsidP="00885E3B">
            <w:pPr>
              <w:tabs>
                <w:tab w:val="left" w:pos="720"/>
              </w:tabs>
              <w:ind w:right="-50"/>
              <w:jc w:val="right"/>
            </w:pPr>
            <w:r>
              <w:t>1 January 2013</w:t>
            </w:r>
          </w:p>
        </w:tc>
      </w:tr>
      <w:tr w:rsidR="003B6A72" w:rsidTr="00885E3B">
        <w:trPr>
          <w:trHeight w:val="297"/>
        </w:trPr>
        <w:tc>
          <w:tcPr>
            <w:tcW w:w="2638" w:type="dxa"/>
          </w:tcPr>
          <w:p w:rsidR="003B6A72" w:rsidRDefault="003B6A72" w:rsidP="00804113">
            <w:pPr>
              <w:tabs>
                <w:tab w:val="left" w:pos="720"/>
              </w:tabs>
              <w:ind w:right="-450"/>
            </w:pPr>
          </w:p>
        </w:tc>
        <w:tc>
          <w:tcPr>
            <w:tcW w:w="4590" w:type="dxa"/>
          </w:tcPr>
          <w:p w:rsidR="003B6A72" w:rsidRDefault="003B6A72" w:rsidP="00804113">
            <w:pPr>
              <w:tabs>
                <w:tab w:val="left" w:pos="720"/>
              </w:tabs>
              <w:ind w:right="-450"/>
            </w:pPr>
          </w:p>
        </w:tc>
        <w:tc>
          <w:tcPr>
            <w:tcW w:w="2070" w:type="dxa"/>
          </w:tcPr>
          <w:p w:rsidR="003B6A72" w:rsidRDefault="003B6A72" w:rsidP="00804113">
            <w:pPr>
              <w:tabs>
                <w:tab w:val="left" w:pos="720"/>
              </w:tabs>
              <w:ind w:right="-450"/>
              <w:jc w:val="center"/>
            </w:pPr>
          </w:p>
        </w:tc>
      </w:tr>
    </w:tbl>
    <w:p w:rsidR="008A3010" w:rsidRDefault="00107B2F" w:rsidP="009B4F28">
      <w:pPr>
        <w:pStyle w:val="BodyTextIndent3"/>
        <w:ind w:right="-450"/>
      </w:pPr>
      <w:r>
        <w:tab/>
      </w:r>
    </w:p>
    <w:p w:rsidR="005F7448" w:rsidRDefault="005F7448" w:rsidP="005F7448">
      <w:pPr>
        <w:pStyle w:val="BodyText"/>
        <w:ind w:left="687" w:right="-450" w:hanging="687"/>
        <w:rPr>
          <w:b/>
          <w:sz w:val="20"/>
        </w:rPr>
      </w:pPr>
      <w:r w:rsidRPr="00EE0622">
        <w:rPr>
          <w:b/>
          <w:sz w:val="20"/>
        </w:rPr>
        <w:t>A</w:t>
      </w:r>
      <w:r>
        <w:rPr>
          <w:b/>
          <w:sz w:val="20"/>
        </w:rPr>
        <w:t>3</w:t>
      </w:r>
      <w:r>
        <w:rPr>
          <w:b/>
          <w:sz w:val="20"/>
        </w:rPr>
        <w:tab/>
        <w:t>Discontinued operation</w:t>
      </w:r>
    </w:p>
    <w:p w:rsidR="005F7448" w:rsidRDefault="005F7448" w:rsidP="005F7448">
      <w:pPr>
        <w:pStyle w:val="BodyText"/>
        <w:ind w:left="687" w:right="-450" w:hanging="687"/>
        <w:rPr>
          <w:b/>
          <w:sz w:val="20"/>
        </w:rPr>
      </w:pPr>
    </w:p>
    <w:p w:rsidR="005F7448" w:rsidRPr="00B322BD" w:rsidRDefault="005F7448" w:rsidP="005F7448">
      <w:pPr>
        <w:pStyle w:val="BodyText"/>
        <w:ind w:left="687" w:right="-450" w:hanging="687"/>
        <w:rPr>
          <w:sz w:val="20"/>
        </w:rPr>
      </w:pPr>
      <w:r w:rsidRPr="00B322BD">
        <w:rPr>
          <w:sz w:val="20"/>
        </w:rPr>
        <w:tab/>
      </w:r>
      <w:r>
        <w:rPr>
          <w:sz w:val="20"/>
        </w:rPr>
        <w:t xml:space="preserve">Consequent to the proposed disposal of MBF Cards (M’sia) </w:t>
      </w:r>
      <w:proofErr w:type="spellStart"/>
      <w:r>
        <w:rPr>
          <w:sz w:val="20"/>
        </w:rPr>
        <w:t>Sdn</w:t>
      </w:r>
      <w:proofErr w:type="spellEnd"/>
      <w:r>
        <w:rPr>
          <w:sz w:val="20"/>
        </w:rPr>
        <w:t xml:space="preserve"> </w:t>
      </w:r>
      <w:proofErr w:type="spellStart"/>
      <w:r>
        <w:rPr>
          <w:sz w:val="20"/>
        </w:rPr>
        <w:t>Bhd</w:t>
      </w:r>
      <w:proofErr w:type="spellEnd"/>
      <w:r>
        <w:rPr>
          <w:sz w:val="20"/>
        </w:rPr>
        <w:t xml:space="preserve"> (“MBF Cards”) as elaborated in Note A12(b), for the current period under review, the assets and liabilities related to MBF Cards have been presented in the statement of financial position as “Assets of disposal group classified as held for sale” and “Liabilities directly associated with disposal group classified as held for sale”, and its results accordingly presented separately on the statement of comprehensive income as “Profit from discontinued operation, net of tax”.</w:t>
      </w:r>
    </w:p>
    <w:p w:rsidR="005F7448" w:rsidRPr="00EE0622" w:rsidRDefault="005F7448" w:rsidP="005F7448">
      <w:pPr>
        <w:pStyle w:val="BodyText"/>
        <w:ind w:left="687" w:right="-450" w:hanging="687"/>
        <w:rPr>
          <w:b/>
          <w:sz w:val="20"/>
        </w:rPr>
      </w:pPr>
      <w:r w:rsidRPr="00EE0622">
        <w:rPr>
          <w:b/>
          <w:sz w:val="20"/>
        </w:rPr>
        <w:tab/>
      </w:r>
    </w:p>
    <w:p w:rsidR="005F7448" w:rsidRDefault="005F7448" w:rsidP="005F7448">
      <w:pPr>
        <w:pStyle w:val="BodyText"/>
        <w:ind w:left="720" w:right="-450" w:hanging="720"/>
        <w:rPr>
          <w:sz w:val="20"/>
          <w:u w:val="single"/>
        </w:rPr>
      </w:pPr>
      <w:r w:rsidRPr="00384820">
        <w:rPr>
          <w:sz w:val="20"/>
        </w:rPr>
        <w:tab/>
      </w:r>
      <w:r w:rsidRPr="00384820">
        <w:rPr>
          <w:sz w:val="20"/>
          <w:u w:val="single"/>
        </w:rPr>
        <w:t>Statement of financial position disclosures</w:t>
      </w:r>
    </w:p>
    <w:p w:rsidR="005F7448" w:rsidRDefault="005F7448" w:rsidP="005F7448">
      <w:pPr>
        <w:pStyle w:val="BodyText"/>
        <w:ind w:left="720" w:right="-450" w:hanging="720"/>
        <w:rPr>
          <w:sz w:val="20"/>
          <w:u w:val="single"/>
        </w:rPr>
      </w:pPr>
    </w:p>
    <w:p w:rsidR="005F7448" w:rsidRDefault="005F7448" w:rsidP="005F7448">
      <w:pPr>
        <w:pStyle w:val="BodyText"/>
        <w:ind w:left="720" w:right="-450" w:hanging="720"/>
        <w:rPr>
          <w:sz w:val="20"/>
        </w:rPr>
      </w:pPr>
      <w:r>
        <w:rPr>
          <w:sz w:val="20"/>
        </w:rPr>
        <w:tab/>
        <w:t>The major classes of assets and liabilities related to MBF Cards classified as held for sale and the reserves as at 30 June 2012 are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900"/>
      </w:tblGrid>
      <w:tr w:rsidR="005F7448" w:rsidTr="002535FC">
        <w:tc>
          <w:tcPr>
            <w:tcW w:w="6768" w:type="dxa"/>
          </w:tcPr>
          <w:p w:rsidR="005F7448" w:rsidRPr="00325179" w:rsidRDefault="005F7448" w:rsidP="002535FC">
            <w:pPr>
              <w:pStyle w:val="BodyText"/>
              <w:ind w:right="-450"/>
              <w:rPr>
                <w:b/>
                <w:sz w:val="20"/>
              </w:rPr>
            </w:pPr>
          </w:p>
          <w:p w:rsidR="005F7448" w:rsidRPr="00325179" w:rsidRDefault="005F7448" w:rsidP="002535FC">
            <w:pPr>
              <w:pStyle w:val="BodyText"/>
              <w:ind w:right="-450"/>
              <w:rPr>
                <w:b/>
                <w:sz w:val="20"/>
              </w:rPr>
            </w:pPr>
          </w:p>
          <w:p w:rsidR="005F7448" w:rsidRPr="00325179" w:rsidRDefault="005F7448" w:rsidP="002535FC">
            <w:pPr>
              <w:pStyle w:val="BodyText"/>
              <w:ind w:right="-450"/>
              <w:rPr>
                <w:b/>
                <w:sz w:val="20"/>
              </w:rPr>
            </w:pPr>
            <w:r w:rsidRPr="00325179">
              <w:rPr>
                <w:b/>
                <w:sz w:val="20"/>
              </w:rPr>
              <w:t>Assets</w:t>
            </w:r>
            <w:r>
              <w:rPr>
                <w:b/>
                <w:sz w:val="20"/>
              </w:rPr>
              <w:t>:</w:t>
            </w:r>
          </w:p>
        </w:tc>
        <w:tc>
          <w:tcPr>
            <w:tcW w:w="900" w:type="dxa"/>
          </w:tcPr>
          <w:p w:rsidR="005F7448" w:rsidRPr="00325179" w:rsidRDefault="005F7448" w:rsidP="002535FC">
            <w:pPr>
              <w:pStyle w:val="BodyText"/>
              <w:ind w:right="-450"/>
              <w:jc w:val="left"/>
              <w:rPr>
                <w:b/>
                <w:sz w:val="20"/>
              </w:rPr>
            </w:pPr>
            <w:r>
              <w:rPr>
                <w:b/>
                <w:sz w:val="20"/>
              </w:rPr>
              <w:t xml:space="preserve"> </w:t>
            </w:r>
            <w:r w:rsidRPr="00325179">
              <w:rPr>
                <w:b/>
                <w:sz w:val="20"/>
              </w:rPr>
              <w:t>Group</w:t>
            </w:r>
          </w:p>
          <w:p w:rsidR="005F7448" w:rsidRDefault="005F7448" w:rsidP="002535FC">
            <w:pPr>
              <w:pStyle w:val="BodyText"/>
              <w:ind w:right="-450"/>
              <w:jc w:val="left"/>
              <w:rPr>
                <w:sz w:val="20"/>
              </w:rPr>
            </w:pPr>
            <w:r w:rsidRPr="00325179">
              <w:rPr>
                <w:b/>
                <w:sz w:val="20"/>
              </w:rPr>
              <w:t>RM’000</w:t>
            </w:r>
          </w:p>
        </w:tc>
      </w:tr>
      <w:tr w:rsidR="005F7448" w:rsidTr="002535FC">
        <w:tc>
          <w:tcPr>
            <w:tcW w:w="6768" w:type="dxa"/>
          </w:tcPr>
          <w:p w:rsidR="005F7448" w:rsidRDefault="005F7448" w:rsidP="002535FC">
            <w:pPr>
              <w:pStyle w:val="BodyText"/>
              <w:ind w:right="-450"/>
              <w:rPr>
                <w:sz w:val="20"/>
              </w:rPr>
            </w:pPr>
            <w:r>
              <w:rPr>
                <w:sz w:val="20"/>
              </w:rPr>
              <w:t xml:space="preserve">   Property, plant and equipment</w:t>
            </w:r>
          </w:p>
        </w:tc>
        <w:tc>
          <w:tcPr>
            <w:tcW w:w="900" w:type="dxa"/>
          </w:tcPr>
          <w:p w:rsidR="005F7448" w:rsidRDefault="005F7448" w:rsidP="002535FC">
            <w:pPr>
              <w:pStyle w:val="BodyText"/>
              <w:ind w:right="-450"/>
              <w:rPr>
                <w:sz w:val="20"/>
              </w:rPr>
            </w:pPr>
            <w:r>
              <w:rPr>
                <w:sz w:val="20"/>
              </w:rPr>
              <w:t xml:space="preserve">  13,939</w:t>
            </w:r>
          </w:p>
        </w:tc>
      </w:tr>
      <w:tr w:rsidR="005F7448" w:rsidTr="002535FC">
        <w:tc>
          <w:tcPr>
            <w:tcW w:w="6768" w:type="dxa"/>
          </w:tcPr>
          <w:p w:rsidR="005F7448" w:rsidRDefault="005F7448" w:rsidP="002535FC">
            <w:pPr>
              <w:pStyle w:val="BodyText"/>
              <w:ind w:right="-450"/>
              <w:rPr>
                <w:sz w:val="20"/>
              </w:rPr>
            </w:pPr>
            <w:r>
              <w:rPr>
                <w:sz w:val="20"/>
              </w:rPr>
              <w:t xml:space="preserve">   Intangible assets</w:t>
            </w:r>
          </w:p>
        </w:tc>
        <w:tc>
          <w:tcPr>
            <w:tcW w:w="900" w:type="dxa"/>
          </w:tcPr>
          <w:p w:rsidR="005F7448" w:rsidRDefault="005F7448" w:rsidP="002535FC">
            <w:pPr>
              <w:pStyle w:val="BodyText"/>
              <w:ind w:right="-450"/>
              <w:rPr>
                <w:sz w:val="20"/>
              </w:rPr>
            </w:pPr>
            <w:r>
              <w:rPr>
                <w:sz w:val="20"/>
              </w:rPr>
              <w:t xml:space="preserve">  25,222</w:t>
            </w:r>
          </w:p>
        </w:tc>
      </w:tr>
      <w:tr w:rsidR="005F7448" w:rsidTr="002535FC">
        <w:tc>
          <w:tcPr>
            <w:tcW w:w="6768" w:type="dxa"/>
          </w:tcPr>
          <w:p w:rsidR="005F7448" w:rsidRDefault="005F7448" w:rsidP="002535FC">
            <w:pPr>
              <w:pStyle w:val="BodyText"/>
              <w:ind w:right="-450"/>
              <w:rPr>
                <w:sz w:val="20"/>
              </w:rPr>
            </w:pPr>
            <w:r>
              <w:rPr>
                <w:sz w:val="20"/>
              </w:rPr>
              <w:t xml:space="preserve">   Investment in associate</w:t>
            </w:r>
          </w:p>
        </w:tc>
        <w:tc>
          <w:tcPr>
            <w:tcW w:w="900" w:type="dxa"/>
          </w:tcPr>
          <w:p w:rsidR="005F7448" w:rsidRDefault="005F7448" w:rsidP="002535FC">
            <w:pPr>
              <w:pStyle w:val="BodyText"/>
              <w:ind w:right="-450"/>
              <w:rPr>
                <w:sz w:val="20"/>
              </w:rPr>
            </w:pPr>
            <w:r>
              <w:rPr>
                <w:sz w:val="20"/>
              </w:rPr>
              <w:t xml:space="preserve">  14,269</w:t>
            </w:r>
          </w:p>
        </w:tc>
      </w:tr>
      <w:tr w:rsidR="005F7448" w:rsidTr="002535FC">
        <w:tc>
          <w:tcPr>
            <w:tcW w:w="6768" w:type="dxa"/>
          </w:tcPr>
          <w:p w:rsidR="005F7448" w:rsidRDefault="005F7448" w:rsidP="002535FC">
            <w:pPr>
              <w:pStyle w:val="BodyText"/>
              <w:ind w:right="-450"/>
              <w:rPr>
                <w:sz w:val="20"/>
              </w:rPr>
            </w:pPr>
            <w:r>
              <w:rPr>
                <w:sz w:val="20"/>
              </w:rPr>
              <w:t xml:space="preserve">   Investment securities</w:t>
            </w:r>
          </w:p>
        </w:tc>
        <w:tc>
          <w:tcPr>
            <w:tcW w:w="900" w:type="dxa"/>
          </w:tcPr>
          <w:p w:rsidR="005F7448" w:rsidRDefault="005F7448" w:rsidP="002535FC">
            <w:pPr>
              <w:pStyle w:val="BodyText"/>
              <w:ind w:right="-450"/>
              <w:rPr>
                <w:sz w:val="20"/>
              </w:rPr>
            </w:pPr>
            <w:r>
              <w:rPr>
                <w:sz w:val="20"/>
              </w:rPr>
              <w:t xml:space="preserve">  16,254</w:t>
            </w:r>
          </w:p>
        </w:tc>
      </w:tr>
      <w:tr w:rsidR="005F7448" w:rsidTr="002535FC">
        <w:tc>
          <w:tcPr>
            <w:tcW w:w="6768" w:type="dxa"/>
          </w:tcPr>
          <w:p w:rsidR="005F7448" w:rsidRDefault="005F7448" w:rsidP="002535FC">
            <w:pPr>
              <w:pStyle w:val="BodyText"/>
              <w:ind w:right="-450"/>
              <w:rPr>
                <w:sz w:val="20"/>
              </w:rPr>
            </w:pPr>
            <w:r>
              <w:rPr>
                <w:sz w:val="20"/>
              </w:rPr>
              <w:t xml:space="preserve">   Deferred tax assets</w:t>
            </w:r>
          </w:p>
        </w:tc>
        <w:tc>
          <w:tcPr>
            <w:tcW w:w="900" w:type="dxa"/>
          </w:tcPr>
          <w:p w:rsidR="005F7448" w:rsidRDefault="005F7448" w:rsidP="002535FC">
            <w:pPr>
              <w:pStyle w:val="BodyText"/>
              <w:ind w:right="-450"/>
              <w:rPr>
                <w:sz w:val="20"/>
              </w:rPr>
            </w:pPr>
            <w:r>
              <w:rPr>
                <w:sz w:val="20"/>
              </w:rPr>
              <w:t xml:space="preserve">       204</w:t>
            </w:r>
          </w:p>
        </w:tc>
      </w:tr>
      <w:tr w:rsidR="005F7448" w:rsidTr="002535FC">
        <w:tc>
          <w:tcPr>
            <w:tcW w:w="6768" w:type="dxa"/>
          </w:tcPr>
          <w:p w:rsidR="005F7448" w:rsidRDefault="005F7448" w:rsidP="002535FC">
            <w:pPr>
              <w:pStyle w:val="BodyText"/>
              <w:ind w:right="-450"/>
              <w:rPr>
                <w:sz w:val="20"/>
              </w:rPr>
            </w:pPr>
            <w:r>
              <w:rPr>
                <w:sz w:val="20"/>
              </w:rPr>
              <w:t xml:space="preserve">   Inventories</w:t>
            </w:r>
          </w:p>
        </w:tc>
        <w:tc>
          <w:tcPr>
            <w:tcW w:w="900" w:type="dxa"/>
          </w:tcPr>
          <w:p w:rsidR="005F7448" w:rsidRDefault="005F7448" w:rsidP="002535FC">
            <w:pPr>
              <w:pStyle w:val="BodyText"/>
              <w:ind w:right="-450"/>
              <w:rPr>
                <w:sz w:val="20"/>
              </w:rPr>
            </w:pPr>
            <w:r>
              <w:rPr>
                <w:sz w:val="20"/>
              </w:rPr>
              <w:t xml:space="preserve">       450</w:t>
            </w:r>
          </w:p>
        </w:tc>
      </w:tr>
      <w:tr w:rsidR="005F7448" w:rsidTr="002535FC">
        <w:tc>
          <w:tcPr>
            <w:tcW w:w="6768" w:type="dxa"/>
          </w:tcPr>
          <w:p w:rsidR="005F7448" w:rsidRDefault="005F7448" w:rsidP="002535FC">
            <w:pPr>
              <w:pStyle w:val="BodyText"/>
              <w:ind w:right="-450"/>
              <w:rPr>
                <w:sz w:val="20"/>
              </w:rPr>
            </w:pPr>
            <w:r>
              <w:rPr>
                <w:sz w:val="20"/>
              </w:rPr>
              <w:t xml:space="preserve">   Trade and other receivables</w:t>
            </w:r>
          </w:p>
        </w:tc>
        <w:tc>
          <w:tcPr>
            <w:tcW w:w="900" w:type="dxa"/>
          </w:tcPr>
          <w:p w:rsidR="005F7448" w:rsidRDefault="005F7448" w:rsidP="002535FC">
            <w:pPr>
              <w:pStyle w:val="BodyText"/>
              <w:ind w:right="-450"/>
              <w:rPr>
                <w:sz w:val="20"/>
              </w:rPr>
            </w:pPr>
            <w:r>
              <w:rPr>
                <w:sz w:val="20"/>
              </w:rPr>
              <w:t xml:space="preserve"> 607,422</w:t>
            </w:r>
          </w:p>
        </w:tc>
      </w:tr>
      <w:tr w:rsidR="005F7448" w:rsidTr="002535FC">
        <w:tc>
          <w:tcPr>
            <w:tcW w:w="6768" w:type="dxa"/>
          </w:tcPr>
          <w:p w:rsidR="005F7448" w:rsidRDefault="005F7448" w:rsidP="002535FC">
            <w:pPr>
              <w:pStyle w:val="BodyText"/>
              <w:ind w:right="-450"/>
              <w:rPr>
                <w:sz w:val="20"/>
              </w:rPr>
            </w:pPr>
            <w:r>
              <w:rPr>
                <w:sz w:val="20"/>
              </w:rPr>
              <w:t xml:space="preserve">   Cash and bank balances</w:t>
            </w:r>
          </w:p>
        </w:tc>
        <w:tc>
          <w:tcPr>
            <w:tcW w:w="900" w:type="dxa"/>
            <w:tcBorders>
              <w:bottom w:val="single" w:sz="4" w:space="0" w:color="auto"/>
            </w:tcBorders>
          </w:tcPr>
          <w:p w:rsidR="005F7448" w:rsidRDefault="005F7448" w:rsidP="002535FC">
            <w:pPr>
              <w:pStyle w:val="BodyText"/>
              <w:ind w:right="-450"/>
              <w:rPr>
                <w:sz w:val="20"/>
              </w:rPr>
            </w:pPr>
            <w:r>
              <w:rPr>
                <w:sz w:val="20"/>
              </w:rPr>
              <w:t xml:space="preserve"> 156,323</w:t>
            </w:r>
          </w:p>
        </w:tc>
      </w:tr>
      <w:tr w:rsidR="005F7448" w:rsidTr="002535FC">
        <w:tc>
          <w:tcPr>
            <w:tcW w:w="6768" w:type="dxa"/>
          </w:tcPr>
          <w:p w:rsidR="005F7448" w:rsidRPr="00295BC8" w:rsidRDefault="005F7448" w:rsidP="002535FC">
            <w:pPr>
              <w:pStyle w:val="BodyText"/>
              <w:ind w:right="-450"/>
              <w:rPr>
                <w:b/>
                <w:sz w:val="20"/>
              </w:rPr>
            </w:pPr>
            <w:r w:rsidRPr="00295BC8">
              <w:rPr>
                <w:b/>
                <w:sz w:val="20"/>
              </w:rPr>
              <w:t xml:space="preserve">Assets of disposal group classified as held for sale </w:t>
            </w:r>
          </w:p>
        </w:tc>
        <w:tc>
          <w:tcPr>
            <w:tcW w:w="900" w:type="dxa"/>
            <w:tcBorders>
              <w:top w:val="single" w:sz="4" w:space="0" w:color="auto"/>
              <w:bottom w:val="single" w:sz="2" w:space="0" w:color="auto"/>
            </w:tcBorders>
          </w:tcPr>
          <w:p w:rsidR="005F7448" w:rsidRPr="00295BC8" w:rsidRDefault="005F7448" w:rsidP="002535FC">
            <w:pPr>
              <w:pStyle w:val="BodyText"/>
              <w:ind w:left="-18" w:right="-18"/>
              <w:jc w:val="center"/>
              <w:rPr>
                <w:b/>
                <w:sz w:val="20"/>
              </w:rPr>
            </w:pPr>
            <w:r>
              <w:rPr>
                <w:b/>
                <w:sz w:val="20"/>
              </w:rPr>
              <w:t xml:space="preserve"> </w:t>
            </w:r>
            <w:r w:rsidRPr="00295BC8">
              <w:rPr>
                <w:b/>
                <w:sz w:val="20"/>
              </w:rPr>
              <w:t>834,083</w:t>
            </w:r>
          </w:p>
        </w:tc>
      </w:tr>
      <w:tr w:rsidR="005F7448" w:rsidTr="002535FC">
        <w:tc>
          <w:tcPr>
            <w:tcW w:w="6768" w:type="dxa"/>
          </w:tcPr>
          <w:p w:rsidR="005F7448" w:rsidRDefault="005F7448" w:rsidP="002535FC">
            <w:pPr>
              <w:pStyle w:val="BodyText"/>
              <w:ind w:right="-450"/>
              <w:rPr>
                <w:sz w:val="20"/>
              </w:rPr>
            </w:pPr>
          </w:p>
        </w:tc>
        <w:tc>
          <w:tcPr>
            <w:tcW w:w="900" w:type="dxa"/>
            <w:tcBorders>
              <w:top w:val="single" w:sz="2" w:space="0" w:color="auto"/>
            </w:tcBorders>
          </w:tcPr>
          <w:p w:rsidR="005F7448" w:rsidRDefault="005F7448" w:rsidP="002535FC">
            <w:pPr>
              <w:pStyle w:val="BodyText"/>
              <w:ind w:right="-450"/>
              <w:rPr>
                <w:sz w:val="20"/>
              </w:rPr>
            </w:pPr>
          </w:p>
        </w:tc>
      </w:tr>
      <w:tr w:rsidR="005F7448" w:rsidTr="002535FC">
        <w:tc>
          <w:tcPr>
            <w:tcW w:w="6768" w:type="dxa"/>
          </w:tcPr>
          <w:p w:rsidR="005F7448" w:rsidRDefault="005F7448" w:rsidP="002535FC">
            <w:pPr>
              <w:pStyle w:val="BodyText"/>
              <w:ind w:right="-450"/>
              <w:rPr>
                <w:sz w:val="20"/>
              </w:rPr>
            </w:pPr>
            <w:r>
              <w:rPr>
                <w:b/>
                <w:sz w:val="20"/>
              </w:rPr>
              <w:t>Liabilities:</w:t>
            </w:r>
          </w:p>
        </w:tc>
        <w:tc>
          <w:tcPr>
            <w:tcW w:w="900" w:type="dxa"/>
          </w:tcPr>
          <w:p w:rsidR="005F7448" w:rsidRDefault="005F7448" w:rsidP="002535FC">
            <w:pPr>
              <w:pStyle w:val="BodyText"/>
              <w:ind w:right="-450"/>
              <w:rPr>
                <w:sz w:val="20"/>
              </w:rPr>
            </w:pPr>
          </w:p>
        </w:tc>
      </w:tr>
      <w:tr w:rsidR="005F7448" w:rsidTr="002535FC">
        <w:tc>
          <w:tcPr>
            <w:tcW w:w="6768" w:type="dxa"/>
          </w:tcPr>
          <w:p w:rsidR="005F7448" w:rsidRDefault="005F7448" w:rsidP="002535FC">
            <w:pPr>
              <w:pStyle w:val="BodyText"/>
              <w:ind w:right="-450"/>
              <w:rPr>
                <w:sz w:val="20"/>
              </w:rPr>
            </w:pPr>
            <w:r>
              <w:rPr>
                <w:sz w:val="20"/>
              </w:rPr>
              <w:t xml:space="preserve">   Loans and borrowings</w:t>
            </w:r>
          </w:p>
        </w:tc>
        <w:tc>
          <w:tcPr>
            <w:tcW w:w="900" w:type="dxa"/>
          </w:tcPr>
          <w:p w:rsidR="005F7448" w:rsidRDefault="002716BC" w:rsidP="002716BC">
            <w:pPr>
              <w:pStyle w:val="BodyText"/>
              <w:tabs>
                <w:tab w:val="left" w:pos="628"/>
              </w:tabs>
              <w:ind w:right="-450"/>
              <w:jc w:val="left"/>
              <w:rPr>
                <w:sz w:val="20"/>
              </w:rPr>
            </w:pPr>
            <w:r>
              <w:rPr>
                <w:sz w:val="20"/>
              </w:rPr>
              <w:t xml:space="preserve">  </w:t>
            </w:r>
            <w:r w:rsidR="005F7448">
              <w:rPr>
                <w:sz w:val="20"/>
              </w:rPr>
              <w:t>597,156</w:t>
            </w:r>
          </w:p>
        </w:tc>
      </w:tr>
      <w:tr w:rsidR="005F7448" w:rsidTr="002535FC">
        <w:tc>
          <w:tcPr>
            <w:tcW w:w="6768" w:type="dxa"/>
          </w:tcPr>
          <w:p w:rsidR="005F7448" w:rsidRDefault="005F7448" w:rsidP="002535FC">
            <w:pPr>
              <w:pStyle w:val="BodyText"/>
              <w:ind w:right="-450"/>
              <w:rPr>
                <w:sz w:val="20"/>
              </w:rPr>
            </w:pPr>
            <w:r>
              <w:rPr>
                <w:sz w:val="20"/>
              </w:rPr>
              <w:t xml:space="preserve">   Deferred tax liabilities</w:t>
            </w:r>
          </w:p>
        </w:tc>
        <w:tc>
          <w:tcPr>
            <w:tcW w:w="900" w:type="dxa"/>
          </w:tcPr>
          <w:p w:rsidR="005F7448" w:rsidRDefault="005F7448" w:rsidP="002716BC">
            <w:pPr>
              <w:pStyle w:val="BodyText"/>
              <w:ind w:right="-450"/>
              <w:rPr>
                <w:sz w:val="20"/>
              </w:rPr>
            </w:pPr>
            <w:r>
              <w:rPr>
                <w:sz w:val="20"/>
              </w:rPr>
              <w:t xml:space="preserve">       </w:t>
            </w:r>
            <w:r w:rsidR="002716BC">
              <w:rPr>
                <w:sz w:val="20"/>
              </w:rPr>
              <w:t xml:space="preserve"> </w:t>
            </w:r>
            <w:r>
              <w:rPr>
                <w:sz w:val="20"/>
              </w:rPr>
              <w:t>912</w:t>
            </w:r>
          </w:p>
        </w:tc>
      </w:tr>
      <w:tr w:rsidR="005F7448" w:rsidTr="002535FC">
        <w:tc>
          <w:tcPr>
            <w:tcW w:w="6768" w:type="dxa"/>
          </w:tcPr>
          <w:p w:rsidR="005F7448" w:rsidRDefault="005F7448" w:rsidP="002535FC">
            <w:pPr>
              <w:pStyle w:val="BodyText"/>
              <w:ind w:right="-450"/>
              <w:rPr>
                <w:sz w:val="20"/>
              </w:rPr>
            </w:pPr>
            <w:r>
              <w:rPr>
                <w:sz w:val="20"/>
              </w:rPr>
              <w:t xml:space="preserve">   Trade and other payables</w:t>
            </w:r>
          </w:p>
        </w:tc>
        <w:tc>
          <w:tcPr>
            <w:tcW w:w="900" w:type="dxa"/>
          </w:tcPr>
          <w:p w:rsidR="005F7448" w:rsidRDefault="002716BC" w:rsidP="002716BC">
            <w:pPr>
              <w:pStyle w:val="BodyText"/>
              <w:ind w:right="-450"/>
              <w:rPr>
                <w:sz w:val="20"/>
              </w:rPr>
            </w:pPr>
            <w:r>
              <w:rPr>
                <w:sz w:val="20"/>
              </w:rPr>
              <w:t xml:space="preserve">  </w:t>
            </w:r>
            <w:r w:rsidR="005F7448">
              <w:rPr>
                <w:sz w:val="20"/>
              </w:rPr>
              <w:t>108,880</w:t>
            </w:r>
            <w:r>
              <w:rPr>
                <w:sz w:val="20"/>
              </w:rPr>
              <w:t xml:space="preserve"> </w:t>
            </w:r>
          </w:p>
        </w:tc>
      </w:tr>
      <w:tr w:rsidR="005F7448" w:rsidTr="002535FC">
        <w:tc>
          <w:tcPr>
            <w:tcW w:w="6768" w:type="dxa"/>
          </w:tcPr>
          <w:p w:rsidR="005F7448" w:rsidRDefault="005F7448" w:rsidP="002535FC">
            <w:pPr>
              <w:pStyle w:val="BodyText"/>
              <w:ind w:right="-450"/>
              <w:rPr>
                <w:sz w:val="20"/>
              </w:rPr>
            </w:pPr>
            <w:r>
              <w:rPr>
                <w:sz w:val="20"/>
              </w:rPr>
              <w:t xml:space="preserve">   Income tax payable</w:t>
            </w:r>
          </w:p>
        </w:tc>
        <w:tc>
          <w:tcPr>
            <w:tcW w:w="900" w:type="dxa"/>
            <w:tcBorders>
              <w:bottom w:val="single" w:sz="2" w:space="0" w:color="auto"/>
            </w:tcBorders>
          </w:tcPr>
          <w:p w:rsidR="005F7448" w:rsidRDefault="002716BC" w:rsidP="002716BC">
            <w:pPr>
              <w:pStyle w:val="BodyText"/>
              <w:ind w:right="-450"/>
              <w:rPr>
                <w:sz w:val="20"/>
              </w:rPr>
            </w:pPr>
            <w:r>
              <w:rPr>
                <w:sz w:val="20"/>
              </w:rPr>
              <w:t xml:space="preserve"> </w:t>
            </w:r>
            <w:r w:rsidR="005F7448">
              <w:rPr>
                <w:sz w:val="20"/>
              </w:rPr>
              <w:t xml:space="preserve">   </w:t>
            </w:r>
            <w:r>
              <w:rPr>
                <w:sz w:val="20"/>
              </w:rPr>
              <w:t xml:space="preserve">  </w:t>
            </w:r>
            <w:r w:rsidR="005F7448">
              <w:rPr>
                <w:sz w:val="20"/>
              </w:rPr>
              <w:t>3,681</w:t>
            </w:r>
          </w:p>
        </w:tc>
      </w:tr>
      <w:tr w:rsidR="005F7448" w:rsidTr="002535FC">
        <w:tc>
          <w:tcPr>
            <w:tcW w:w="6768" w:type="dxa"/>
          </w:tcPr>
          <w:p w:rsidR="005F7448" w:rsidRPr="00295BC8" w:rsidRDefault="005F7448" w:rsidP="002535FC">
            <w:pPr>
              <w:pStyle w:val="BodyText"/>
              <w:ind w:right="-450"/>
              <w:jc w:val="left"/>
              <w:rPr>
                <w:b/>
                <w:sz w:val="20"/>
              </w:rPr>
            </w:pPr>
            <w:r w:rsidRPr="00295BC8">
              <w:rPr>
                <w:b/>
                <w:sz w:val="20"/>
              </w:rPr>
              <w:t>Liabilities directly associated with disposal group classified as held for sale</w:t>
            </w:r>
          </w:p>
        </w:tc>
        <w:tc>
          <w:tcPr>
            <w:tcW w:w="900" w:type="dxa"/>
            <w:tcBorders>
              <w:top w:val="single" w:sz="2" w:space="0" w:color="auto"/>
              <w:bottom w:val="single" w:sz="2" w:space="0" w:color="auto"/>
            </w:tcBorders>
          </w:tcPr>
          <w:p w:rsidR="005F7448" w:rsidRPr="00AE70AE" w:rsidRDefault="002716BC" w:rsidP="002716BC">
            <w:pPr>
              <w:pStyle w:val="BodyText"/>
              <w:ind w:right="-450"/>
              <w:rPr>
                <w:b/>
                <w:sz w:val="20"/>
              </w:rPr>
            </w:pPr>
            <w:r>
              <w:rPr>
                <w:b/>
                <w:sz w:val="20"/>
              </w:rPr>
              <w:t xml:space="preserve">  </w:t>
            </w:r>
            <w:r w:rsidR="005F7448" w:rsidRPr="00AE70AE">
              <w:rPr>
                <w:b/>
                <w:sz w:val="20"/>
              </w:rPr>
              <w:t>710,629</w:t>
            </w:r>
          </w:p>
        </w:tc>
      </w:tr>
      <w:tr w:rsidR="005F7448" w:rsidTr="002535FC">
        <w:tc>
          <w:tcPr>
            <w:tcW w:w="6768" w:type="dxa"/>
          </w:tcPr>
          <w:p w:rsidR="005F7448" w:rsidRPr="00295BC8" w:rsidRDefault="005F7448" w:rsidP="002535FC">
            <w:pPr>
              <w:pStyle w:val="BodyText"/>
              <w:ind w:right="-450"/>
              <w:jc w:val="left"/>
              <w:rPr>
                <w:b/>
                <w:sz w:val="20"/>
              </w:rPr>
            </w:pPr>
          </w:p>
        </w:tc>
        <w:tc>
          <w:tcPr>
            <w:tcW w:w="900" w:type="dxa"/>
            <w:tcBorders>
              <w:top w:val="single" w:sz="2" w:space="0" w:color="auto"/>
            </w:tcBorders>
          </w:tcPr>
          <w:p w:rsidR="005F7448" w:rsidRDefault="005F7448" w:rsidP="002535FC">
            <w:pPr>
              <w:pStyle w:val="BodyText"/>
              <w:ind w:right="-450"/>
              <w:rPr>
                <w:b/>
                <w:sz w:val="20"/>
              </w:rPr>
            </w:pPr>
          </w:p>
        </w:tc>
      </w:tr>
      <w:tr w:rsidR="005F7448" w:rsidTr="002535FC">
        <w:tc>
          <w:tcPr>
            <w:tcW w:w="6768" w:type="dxa"/>
          </w:tcPr>
          <w:p w:rsidR="005F7448" w:rsidRPr="00295BC8" w:rsidRDefault="005F7448" w:rsidP="002535FC">
            <w:pPr>
              <w:pStyle w:val="BodyText"/>
              <w:ind w:right="-450"/>
              <w:jc w:val="left"/>
              <w:rPr>
                <w:b/>
                <w:sz w:val="20"/>
              </w:rPr>
            </w:pPr>
            <w:r>
              <w:rPr>
                <w:b/>
                <w:sz w:val="20"/>
              </w:rPr>
              <w:t>Net assets</w:t>
            </w:r>
            <w:r w:rsidRPr="00295BC8">
              <w:rPr>
                <w:b/>
                <w:sz w:val="20"/>
              </w:rPr>
              <w:t xml:space="preserve"> directly associated with disposal group classified as held for sale</w:t>
            </w:r>
          </w:p>
        </w:tc>
        <w:tc>
          <w:tcPr>
            <w:tcW w:w="900" w:type="dxa"/>
            <w:tcBorders>
              <w:bottom w:val="single" w:sz="12" w:space="0" w:color="auto"/>
            </w:tcBorders>
          </w:tcPr>
          <w:p w:rsidR="005F7448" w:rsidRDefault="005F7448" w:rsidP="002535FC">
            <w:pPr>
              <w:pStyle w:val="BodyText"/>
              <w:ind w:right="-450"/>
              <w:rPr>
                <w:b/>
                <w:sz w:val="20"/>
              </w:rPr>
            </w:pPr>
            <w:r>
              <w:rPr>
                <w:b/>
                <w:sz w:val="20"/>
              </w:rPr>
              <w:t xml:space="preserve"> 123,454</w:t>
            </w:r>
          </w:p>
        </w:tc>
      </w:tr>
      <w:tr w:rsidR="005F7448" w:rsidTr="002535FC">
        <w:tc>
          <w:tcPr>
            <w:tcW w:w="6768" w:type="dxa"/>
          </w:tcPr>
          <w:p w:rsidR="005F7448" w:rsidRDefault="005F7448" w:rsidP="002535FC">
            <w:pPr>
              <w:pStyle w:val="BodyText"/>
              <w:ind w:right="-450"/>
              <w:jc w:val="left"/>
              <w:rPr>
                <w:b/>
                <w:sz w:val="20"/>
              </w:rPr>
            </w:pPr>
          </w:p>
        </w:tc>
        <w:tc>
          <w:tcPr>
            <w:tcW w:w="900" w:type="dxa"/>
            <w:tcBorders>
              <w:top w:val="single" w:sz="12" w:space="0" w:color="auto"/>
            </w:tcBorders>
          </w:tcPr>
          <w:p w:rsidR="005F7448" w:rsidRDefault="005F7448" w:rsidP="002535FC">
            <w:pPr>
              <w:pStyle w:val="BodyText"/>
              <w:ind w:right="-450"/>
              <w:rPr>
                <w:b/>
                <w:sz w:val="20"/>
              </w:rPr>
            </w:pPr>
          </w:p>
        </w:tc>
      </w:tr>
      <w:tr w:rsidR="005F7448" w:rsidTr="002535FC">
        <w:tc>
          <w:tcPr>
            <w:tcW w:w="6768" w:type="dxa"/>
          </w:tcPr>
          <w:p w:rsidR="005F7448" w:rsidRDefault="005F7448" w:rsidP="002535FC">
            <w:pPr>
              <w:pStyle w:val="BodyText"/>
              <w:ind w:right="-450"/>
              <w:jc w:val="left"/>
              <w:rPr>
                <w:b/>
                <w:sz w:val="20"/>
              </w:rPr>
            </w:pPr>
            <w:r>
              <w:rPr>
                <w:b/>
                <w:sz w:val="20"/>
              </w:rPr>
              <w:t>Reserves:</w:t>
            </w:r>
          </w:p>
        </w:tc>
        <w:tc>
          <w:tcPr>
            <w:tcW w:w="900" w:type="dxa"/>
          </w:tcPr>
          <w:p w:rsidR="005F7448" w:rsidRDefault="005F7448" w:rsidP="002535FC">
            <w:pPr>
              <w:pStyle w:val="BodyText"/>
              <w:ind w:right="-450"/>
              <w:rPr>
                <w:b/>
                <w:sz w:val="20"/>
              </w:rPr>
            </w:pPr>
          </w:p>
        </w:tc>
      </w:tr>
      <w:tr w:rsidR="005F7448" w:rsidTr="002535FC">
        <w:tc>
          <w:tcPr>
            <w:tcW w:w="6768" w:type="dxa"/>
          </w:tcPr>
          <w:p w:rsidR="005F7448" w:rsidRPr="00AE70AE" w:rsidRDefault="005F7448" w:rsidP="002535FC">
            <w:pPr>
              <w:pStyle w:val="BodyText"/>
              <w:ind w:right="-450"/>
              <w:jc w:val="left"/>
              <w:rPr>
                <w:sz w:val="20"/>
              </w:rPr>
            </w:pPr>
            <w:r w:rsidRPr="00AE70AE">
              <w:rPr>
                <w:sz w:val="20"/>
              </w:rPr>
              <w:t xml:space="preserve">   Accumulated profits</w:t>
            </w:r>
          </w:p>
        </w:tc>
        <w:tc>
          <w:tcPr>
            <w:tcW w:w="900" w:type="dxa"/>
            <w:tcBorders>
              <w:bottom w:val="single" w:sz="12" w:space="0" w:color="auto"/>
            </w:tcBorders>
          </w:tcPr>
          <w:p w:rsidR="005F7448" w:rsidRDefault="005F7448" w:rsidP="002535FC">
            <w:pPr>
              <w:pStyle w:val="BodyText"/>
              <w:ind w:right="-450"/>
              <w:rPr>
                <w:b/>
                <w:sz w:val="20"/>
              </w:rPr>
            </w:pPr>
            <w:r>
              <w:rPr>
                <w:b/>
                <w:sz w:val="20"/>
              </w:rPr>
              <w:t xml:space="preserve"> 212,637</w:t>
            </w:r>
          </w:p>
        </w:tc>
      </w:tr>
    </w:tbl>
    <w:p w:rsidR="005F7448" w:rsidRDefault="005F7448" w:rsidP="005F7448">
      <w:pPr>
        <w:pStyle w:val="BodyText"/>
        <w:ind w:left="720" w:right="-450" w:hanging="720"/>
        <w:rPr>
          <w:sz w:val="20"/>
        </w:rPr>
      </w:pPr>
    </w:p>
    <w:p w:rsidR="003B369C" w:rsidRDefault="003B369C" w:rsidP="005F7448">
      <w:pPr>
        <w:pStyle w:val="BodyText"/>
        <w:ind w:left="720" w:right="-450" w:hanging="720"/>
        <w:rPr>
          <w:sz w:val="20"/>
        </w:rPr>
      </w:pPr>
    </w:p>
    <w:p w:rsidR="002535FC" w:rsidRDefault="002535FC" w:rsidP="005F7448">
      <w:pPr>
        <w:pStyle w:val="BodyText"/>
        <w:ind w:left="720" w:right="-450" w:hanging="720"/>
        <w:rPr>
          <w:sz w:val="20"/>
        </w:rPr>
      </w:pPr>
    </w:p>
    <w:p w:rsidR="002535FC" w:rsidRDefault="002535FC" w:rsidP="005F7448">
      <w:pPr>
        <w:pStyle w:val="BodyText"/>
        <w:ind w:left="720" w:right="-450" w:hanging="720"/>
        <w:rPr>
          <w:sz w:val="20"/>
        </w:rPr>
      </w:pPr>
    </w:p>
    <w:p w:rsidR="002535FC" w:rsidRDefault="002535FC" w:rsidP="005F7448">
      <w:pPr>
        <w:pStyle w:val="BodyText"/>
        <w:ind w:left="720" w:right="-450" w:hanging="720"/>
        <w:rPr>
          <w:sz w:val="20"/>
        </w:rPr>
      </w:pPr>
    </w:p>
    <w:p w:rsidR="002535FC" w:rsidRDefault="002535FC" w:rsidP="005F7448">
      <w:pPr>
        <w:pStyle w:val="BodyText"/>
        <w:ind w:left="720" w:right="-450" w:hanging="720"/>
        <w:rPr>
          <w:sz w:val="20"/>
        </w:rPr>
      </w:pPr>
    </w:p>
    <w:p w:rsidR="002535FC" w:rsidRDefault="002535FC" w:rsidP="005F7448">
      <w:pPr>
        <w:pStyle w:val="BodyText"/>
        <w:ind w:left="720" w:right="-450" w:hanging="720"/>
        <w:rPr>
          <w:sz w:val="20"/>
        </w:rPr>
      </w:pPr>
    </w:p>
    <w:p w:rsidR="002535FC" w:rsidRDefault="002535FC" w:rsidP="005F7448">
      <w:pPr>
        <w:pStyle w:val="BodyText"/>
        <w:ind w:left="720" w:right="-450" w:hanging="720"/>
        <w:rPr>
          <w:sz w:val="20"/>
        </w:rPr>
      </w:pPr>
    </w:p>
    <w:p w:rsidR="002535FC" w:rsidRDefault="002535FC" w:rsidP="005F7448">
      <w:pPr>
        <w:pStyle w:val="BodyText"/>
        <w:ind w:left="720" w:right="-450" w:hanging="720"/>
        <w:rPr>
          <w:sz w:val="20"/>
        </w:rPr>
      </w:pPr>
    </w:p>
    <w:p w:rsidR="002535FC" w:rsidRDefault="002535FC" w:rsidP="005F7448">
      <w:pPr>
        <w:pStyle w:val="BodyText"/>
        <w:ind w:left="720" w:right="-450" w:hanging="720"/>
        <w:rPr>
          <w:sz w:val="20"/>
        </w:rPr>
      </w:pPr>
    </w:p>
    <w:p w:rsidR="005F7448" w:rsidRDefault="005F7448" w:rsidP="005F7448">
      <w:pPr>
        <w:pStyle w:val="BodyText"/>
        <w:ind w:left="720" w:right="-450" w:hanging="720"/>
        <w:rPr>
          <w:sz w:val="20"/>
          <w:u w:val="single"/>
        </w:rPr>
      </w:pPr>
      <w:r>
        <w:rPr>
          <w:sz w:val="20"/>
        </w:rPr>
        <w:tab/>
      </w:r>
      <w:r w:rsidRPr="00384820">
        <w:rPr>
          <w:sz w:val="20"/>
          <w:u w:val="single"/>
        </w:rPr>
        <w:t xml:space="preserve">Statement of </w:t>
      </w:r>
      <w:r>
        <w:rPr>
          <w:sz w:val="20"/>
          <w:u w:val="single"/>
        </w:rPr>
        <w:t>comprehensive income</w:t>
      </w:r>
      <w:r w:rsidRPr="00384820">
        <w:rPr>
          <w:sz w:val="20"/>
          <w:u w:val="single"/>
        </w:rPr>
        <w:t xml:space="preserve"> disclosures</w:t>
      </w:r>
    </w:p>
    <w:p w:rsidR="005F7448" w:rsidRDefault="005F7448" w:rsidP="005F7448">
      <w:pPr>
        <w:pStyle w:val="BodyText"/>
        <w:ind w:left="720" w:right="-450" w:hanging="720"/>
        <w:rPr>
          <w:sz w:val="20"/>
          <w:u w:val="single"/>
        </w:rPr>
      </w:pPr>
    </w:p>
    <w:p w:rsidR="005F7448" w:rsidRDefault="005F7448" w:rsidP="005F7448">
      <w:pPr>
        <w:pStyle w:val="BodyText"/>
        <w:ind w:left="720" w:right="-450" w:hanging="720"/>
        <w:rPr>
          <w:sz w:val="20"/>
        </w:rPr>
      </w:pPr>
      <w:r>
        <w:rPr>
          <w:sz w:val="20"/>
        </w:rPr>
        <w:tab/>
        <w:t>The results of MBF Cards for the period ended 30 June are as follows:</w:t>
      </w:r>
    </w:p>
    <w:p w:rsidR="005F7448" w:rsidRDefault="005F7448" w:rsidP="005F7448">
      <w:pPr>
        <w:pStyle w:val="BodyText"/>
        <w:ind w:left="720" w:right="-450" w:hanging="720"/>
        <w:rPr>
          <w:sz w:val="20"/>
        </w:rPr>
      </w:pPr>
    </w:p>
    <w:tbl>
      <w:tblPr>
        <w:tblW w:w="9000" w:type="dxa"/>
        <w:tblInd w:w="828" w:type="dxa"/>
        <w:tblLayout w:type="fixed"/>
        <w:tblLook w:val="0000"/>
      </w:tblPr>
      <w:tblGrid>
        <w:gridCol w:w="2880"/>
        <w:gridCol w:w="1170"/>
        <w:gridCol w:w="1890"/>
        <w:gridCol w:w="1170"/>
        <w:gridCol w:w="1890"/>
      </w:tblGrid>
      <w:tr w:rsidR="005F7448" w:rsidTr="002535FC">
        <w:trPr>
          <w:cantSplit/>
        </w:trPr>
        <w:tc>
          <w:tcPr>
            <w:tcW w:w="2880" w:type="dxa"/>
          </w:tcPr>
          <w:p w:rsidR="005F7448" w:rsidRDefault="005F7448" w:rsidP="002535FC">
            <w:pPr>
              <w:pStyle w:val="BodyText"/>
              <w:ind w:left="-828" w:right="-450"/>
              <w:rPr>
                <w:sz w:val="20"/>
              </w:rPr>
            </w:pPr>
            <w:r>
              <w:rPr>
                <w:sz w:val="20"/>
              </w:rPr>
              <w:tab/>
            </w:r>
          </w:p>
        </w:tc>
        <w:tc>
          <w:tcPr>
            <w:tcW w:w="3060" w:type="dxa"/>
            <w:gridSpan w:val="2"/>
            <w:tcBorders>
              <w:top w:val="single" w:sz="4" w:space="0" w:color="auto"/>
              <w:left w:val="single" w:sz="4" w:space="0" w:color="auto"/>
              <w:bottom w:val="single" w:sz="4" w:space="0" w:color="auto"/>
              <w:right w:val="single" w:sz="4" w:space="0" w:color="auto"/>
            </w:tcBorders>
          </w:tcPr>
          <w:p w:rsidR="005F7448" w:rsidRDefault="005F7448" w:rsidP="002535FC">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5F7448" w:rsidRDefault="005F7448" w:rsidP="002535FC">
            <w:pPr>
              <w:pStyle w:val="BodyText"/>
              <w:ind w:right="-108" w:hanging="108"/>
              <w:jc w:val="center"/>
              <w:rPr>
                <w:b/>
                <w:sz w:val="18"/>
              </w:rPr>
            </w:pPr>
            <w:r>
              <w:rPr>
                <w:b/>
                <w:sz w:val="18"/>
              </w:rPr>
              <w:t>CUMULATIVE QUARTER</w:t>
            </w:r>
          </w:p>
        </w:tc>
      </w:tr>
      <w:tr w:rsidR="005F7448" w:rsidRPr="003D4102" w:rsidTr="002535FC">
        <w:tc>
          <w:tcPr>
            <w:tcW w:w="2880" w:type="dxa"/>
          </w:tcPr>
          <w:p w:rsidR="005F7448" w:rsidRDefault="005F7448" w:rsidP="002535FC">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5F7448" w:rsidRPr="004B01DB" w:rsidRDefault="005F7448" w:rsidP="002535FC">
            <w:pPr>
              <w:pStyle w:val="BodyText"/>
              <w:tabs>
                <w:tab w:val="left" w:pos="360"/>
                <w:tab w:val="left" w:pos="540"/>
                <w:tab w:val="left" w:pos="630"/>
                <w:tab w:val="left" w:pos="1080"/>
              </w:tabs>
              <w:ind w:right="-108" w:hanging="108"/>
              <w:jc w:val="center"/>
              <w:rPr>
                <w:b/>
                <w:sz w:val="18"/>
              </w:rPr>
            </w:pPr>
            <w:r w:rsidRPr="004B01DB">
              <w:rPr>
                <w:b/>
                <w:sz w:val="18"/>
              </w:rPr>
              <w:t>CURRENT</w:t>
            </w:r>
          </w:p>
          <w:p w:rsidR="005F7448" w:rsidRPr="004B01DB" w:rsidRDefault="005F7448" w:rsidP="002535FC">
            <w:pPr>
              <w:pStyle w:val="BodyText"/>
              <w:tabs>
                <w:tab w:val="left" w:pos="360"/>
                <w:tab w:val="left" w:pos="540"/>
                <w:tab w:val="left" w:pos="630"/>
                <w:tab w:val="left" w:pos="1080"/>
              </w:tabs>
              <w:ind w:right="-108" w:hanging="108"/>
              <w:jc w:val="center"/>
              <w:rPr>
                <w:b/>
                <w:sz w:val="18"/>
              </w:rPr>
            </w:pPr>
            <w:r w:rsidRPr="004B01DB">
              <w:rPr>
                <w:b/>
                <w:sz w:val="18"/>
              </w:rPr>
              <w:t>YEAR</w:t>
            </w:r>
          </w:p>
          <w:p w:rsidR="005F7448" w:rsidRPr="004B01DB" w:rsidRDefault="005F7448" w:rsidP="002535FC">
            <w:pPr>
              <w:pStyle w:val="BodyText"/>
              <w:tabs>
                <w:tab w:val="left" w:pos="360"/>
                <w:tab w:val="left" w:pos="540"/>
                <w:tab w:val="left" w:pos="630"/>
                <w:tab w:val="left" w:pos="1080"/>
              </w:tabs>
              <w:ind w:right="-108" w:hanging="108"/>
              <w:jc w:val="center"/>
              <w:rPr>
                <w:b/>
                <w:sz w:val="18"/>
              </w:rPr>
            </w:pPr>
            <w:r w:rsidRPr="004B01DB">
              <w:rPr>
                <w:b/>
                <w:sz w:val="18"/>
              </w:rPr>
              <w:t>QUARTER</w:t>
            </w:r>
          </w:p>
          <w:p w:rsidR="005F7448" w:rsidRPr="004B01DB" w:rsidRDefault="005F7448" w:rsidP="002535FC">
            <w:pPr>
              <w:pStyle w:val="BodyText"/>
              <w:tabs>
                <w:tab w:val="left" w:pos="360"/>
                <w:tab w:val="left" w:pos="540"/>
                <w:tab w:val="left" w:pos="630"/>
                <w:tab w:val="left" w:pos="1080"/>
              </w:tabs>
              <w:ind w:right="-108" w:hanging="108"/>
              <w:jc w:val="center"/>
              <w:rPr>
                <w:b/>
                <w:sz w:val="18"/>
              </w:rPr>
            </w:pPr>
            <w:r w:rsidRPr="004B01DB">
              <w:rPr>
                <w:b/>
                <w:sz w:val="18"/>
              </w:rPr>
              <w:t>3</w:t>
            </w:r>
            <w:r>
              <w:rPr>
                <w:b/>
                <w:sz w:val="18"/>
              </w:rPr>
              <w:t>0</w:t>
            </w:r>
            <w:r w:rsidRPr="004B01DB">
              <w:rPr>
                <w:b/>
                <w:sz w:val="18"/>
              </w:rPr>
              <w:t>/</w:t>
            </w:r>
            <w:r>
              <w:rPr>
                <w:b/>
                <w:sz w:val="18"/>
              </w:rPr>
              <w:t>6</w:t>
            </w:r>
            <w:r w:rsidRPr="004B01DB">
              <w:rPr>
                <w:b/>
                <w:sz w:val="18"/>
              </w:rPr>
              <w:t>/</w:t>
            </w:r>
            <w:r>
              <w:rPr>
                <w:b/>
                <w:sz w:val="18"/>
              </w:rPr>
              <w:t>2012</w:t>
            </w:r>
          </w:p>
          <w:p w:rsidR="005F7448" w:rsidRPr="004B01DB" w:rsidRDefault="005F7448" w:rsidP="002535FC">
            <w:pPr>
              <w:pStyle w:val="BodyText"/>
              <w:tabs>
                <w:tab w:val="left" w:pos="360"/>
                <w:tab w:val="left" w:pos="540"/>
                <w:tab w:val="left" w:pos="630"/>
                <w:tab w:val="left" w:pos="1080"/>
              </w:tabs>
              <w:ind w:right="-108" w:hanging="108"/>
              <w:jc w:val="center"/>
              <w:rPr>
                <w:b/>
                <w:sz w:val="18"/>
              </w:rPr>
            </w:pPr>
            <w:r w:rsidRPr="004B01DB">
              <w:rPr>
                <w:b/>
                <w:sz w:val="18"/>
              </w:rPr>
              <w:t>RM’000</w:t>
            </w:r>
          </w:p>
        </w:tc>
        <w:tc>
          <w:tcPr>
            <w:tcW w:w="1890" w:type="dxa"/>
            <w:tcBorders>
              <w:top w:val="single" w:sz="4" w:space="0" w:color="auto"/>
              <w:left w:val="nil"/>
              <w:bottom w:val="single" w:sz="4" w:space="0" w:color="auto"/>
              <w:right w:val="single" w:sz="4" w:space="0" w:color="auto"/>
            </w:tcBorders>
          </w:tcPr>
          <w:p w:rsidR="005F7448" w:rsidRPr="00A366C5" w:rsidRDefault="005F7448" w:rsidP="002535FC">
            <w:pPr>
              <w:pStyle w:val="BodyText"/>
              <w:tabs>
                <w:tab w:val="left" w:pos="360"/>
                <w:tab w:val="left" w:pos="540"/>
                <w:tab w:val="left" w:pos="630"/>
                <w:tab w:val="left" w:pos="1080"/>
              </w:tabs>
              <w:ind w:right="-108" w:hanging="108"/>
              <w:jc w:val="center"/>
              <w:rPr>
                <w:b/>
                <w:sz w:val="18"/>
              </w:rPr>
            </w:pPr>
            <w:r w:rsidRPr="00A366C5">
              <w:rPr>
                <w:b/>
                <w:sz w:val="18"/>
              </w:rPr>
              <w:t>PRECEDING YEAR</w:t>
            </w:r>
          </w:p>
          <w:p w:rsidR="005F7448" w:rsidRPr="00A366C5" w:rsidRDefault="005F7448" w:rsidP="002535FC">
            <w:pPr>
              <w:pStyle w:val="BodyText"/>
              <w:tabs>
                <w:tab w:val="left" w:pos="360"/>
                <w:tab w:val="left" w:pos="540"/>
                <w:tab w:val="left" w:pos="630"/>
                <w:tab w:val="left" w:pos="1080"/>
              </w:tabs>
              <w:ind w:right="-108" w:hanging="108"/>
              <w:jc w:val="center"/>
              <w:rPr>
                <w:b/>
                <w:sz w:val="18"/>
              </w:rPr>
            </w:pPr>
            <w:r w:rsidRPr="00A366C5">
              <w:rPr>
                <w:b/>
                <w:sz w:val="18"/>
              </w:rPr>
              <w:t>CORRESPONDING</w:t>
            </w:r>
          </w:p>
          <w:p w:rsidR="005F7448" w:rsidRPr="00A366C5" w:rsidRDefault="005F7448" w:rsidP="002535FC">
            <w:pPr>
              <w:pStyle w:val="BodyText"/>
              <w:tabs>
                <w:tab w:val="left" w:pos="360"/>
                <w:tab w:val="left" w:pos="540"/>
                <w:tab w:val="left" w:pos="630"/>
                <w:tab w:val="left" w:pos="1080"/>
              </w:tabs>
              <w:ind w:right="-108" w:hanging="108"/>
              <w:jc w:val="center"/>
              <w:rPr>
                <w:b/>
                <w:sz w:val="18"/>
              </w:rPr>
            </w:pPr>
            <w:r w:rsidRPr="00A366C5">
              <w:rPr>
                <w:b/>
                <w:sz w:val="18"/>
              </w:rPr>
              <w:t>QUARTER</w:t>
            </w:r>
          </w:p>
          <w:p w:rsidR="005F7448" w:rsidRPr="00A366C5" w:rsidRDefault="005F7448" w:rsidP="002535FC">
            <w:pPr>
              <w:pStyle w:val="BodyText"/>
              <w:tabs>
                <w:tab w:val="left" w:pos="360"/>
                <w:tab w:val="left" w:pos="540"/>
                <w:tab w:val="left" w:pos="630"/>
                <w:tab w:val="left" w:pos="1080"/>
              </w:tabs>
              <w:ind w:right="-108" w:hanging="108"/>
              <w:jc w:val="center"/>
              <w:rPr>
                <w:b/>
                <w:sz w:val="18"/>
              </w:rPr>
            </w:pPr>
            <w:r w:rsidRPr="00A366C5">
              <w:rPr>
                <w:b/>
                <w:sz w:val="18"/>
              </w:rPr>
              <w:t>3</w:t>
            </w:r>
            <w:r>
              <w:rPr>
                <w:b/>
                <w:sz w:val="18"/>
              </w:rPr>
              <w:t>0</w:t>
            </w:r>
            <w:r w:rsidRPr="00A366C5">
              <w:rPr>
                <w:b/>
                <w:sz w:val="18"/>
              </w:rPr>
              <w:t>/</w:t>
            </w:r>
            <w:r>
              <w:rPr>
                <w:b/>
                <w:sz w:val="18"/>
              </w:rPr>
              <w:t>6</w:t>
            </w:r>
            <w:r w:rsidRPr="00A366C5">
              <w:rPr>
                <w:b/>
                <w:sz w:val="18"/>
              </w:rPr>
              <w:t>/20</w:t>
            </w:r>
            <w:r>
              <w:rPr>
                <w:b/>
                <w:sz w:val="18"/>
              </w:rPr>
              <w:t>11</w:t>
            </w:r>
          </w:p>
          <w:p w:rsidR="005F7448" w:rsidRPr="00A366C5" w:rsidRDefault="005F7448" w:rsidP="002535FC">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5F7448" w:rsidRPr="004E3D31" w:rsidRDefault="005F7448" w:rsidP="002535FC">
            <w:pPr>
              <w:pStyle w:val="BodyText"/>
              <w:tabs>
                <w:tab w:val="left" w:pos="360"/>
                <w:tab w:val="left" w:pos="540"/>
                <w:tab w:val="left" w:pos="630"/>
                <w:tab w:val="left" w:pos="1080"/>
              </w:tabs>
              <w:ind w:right="-108" w:hanging="108"/>
              <w:jc w:val="center"/>
              <w:rPr>
                <w:b/>
                <w:sz w:val="18"/>
              </w:rPr>
            </w:pPr>
            <w:r w:rsidRPr="004E3D31">
              <w:rPr>
                <w:b/>
                <w:sz w:val="18"/>
              </w:rPr>
              <w:t>CURRENT</w:t>
            </w:r>
          </w:p>
          <w:p w:rsidR="005F7448" w:rsidRPr="004E3D31" w:rsidRDefault="005F7448" w:rsidP="002535FC">
            <w:pPr>
              <w:pStyle w:val="BodyText"/>
              <w:tabs>
                <w:tab w:val="left" w:pos="360"/>
                <w:tab w:val="left" w:pos="540"/>
                <w:tab w:val="left" w:pos="630"/>
                <w:tab w:val="left" w:pos="1080"/>
              </w:tabs>
              <w:ind w:right="-108" w:hanging="108"/>
              <w:jc w:val="center"/>
              <w:rPr>
                <w:b/>
                <w:sz w:val="18"/>
              </w:rPr>
            </w:pPr>
            <w:r w:rsidRPr="004E3D31">
              <w:rPr>
                <w:b/>
                <w:sz w:val="18"/>
              </w:rPr>
              <w:t>YEAR TO DATE</w:t>
            </w:r>
          </w:p>
          <w:p w:rsidR="005F7448" w:rsidRPr="004E3D31" w:rsidRDefault="005F7448" w:rsidP="002535FC">
            <w:pPr>
              <w:pStyle w:val="BodyText"/>
              <w:tabs>
                <w:tab w:val="left" w:pos="360"/>
                <w:tab w:val="left" w:pos="540"/>
                <w:tab w:val="left" w:pos="630"/>
                <w:tab w:val="left" w:pos="1080"/>
              </w:tabs>
              <w:ind w:right="-108" w:hanging="108"/>
              <w:jc w:val="center"/>
              <w:rPr>
                <w:b/>
                <w:sz w:val="18"/>
              </w:rPr>
            </w:pPr>
            <w:r w:rsidRPr="004E3D31">
              <w:rPr>
                <w:b/>
                <w:sz w:val="18"/>
              </w:rPr>
              <w:t>3</w:t>
            </w:r>
            <w:r>
              <w:rPr>
                <w:b/>
                <w:sz w:val="18"/>
              </w:rPr>
              <w:t>0</w:t>
            </w:r>
            <w:r w:rsidRPr="004E3D31">
              <w:rPr>
                <w:b/>
                <w:sz w:val="18"/>
              </w:rPr>
              <w:t>/</w:t>
            </w:r>
            <w:r>
              <w:rPr>
                <w:b/>
                <w:sz w:val="18"/>
              </w:rPr>
              <w:t>6</w:t>
            </w:r>
            <w:r w:rsidRPr="004E3D31">
              <w:rPr>
                <w:b/>
                <w:sz w:val="18"/>
              </w:rPr>
              <w:t>/201</w:t>
            </w:r>
            <w:r>
              <w:rPr>
                <w:b/>
                <w:sz w:val="18"/>
              </w:rPr>
              <w:t>2</w:t>
            </w:r>
          </w:p>
          <w:p w:rsidR="005F7448" w:rsidRPr="004E3D31" w:rsidRDefault="005F7448" w:rsidP="002535FC">
            <w:pPr>
              <w:pStyle w:val="BodyText"/>
              <w:tabs>
                <w:tab w:val="left" w:pos="360"/>
                <w:tab w:val="left" w:pos="540"/>
                <w:tab w:val="left" w:pos="630"/>
                <w:tab w:val="left" w:pos="1080"/>
              </w:tabs>
              <w:ind w:right="-108" w:hanging="108"/>
              <w:jc w:val="center"/>
              <w:rPr>
                <w:b/>
                <w:sz w:val="18"/>
              </w:rPr>
            </w:pPr>
            <w:r w:rsidRPr="004E3D31">
              <w:rPr>
                <w:b/>
                <w:sz w:val="18"/>
              </w:rPr>
              <w:t>RM’000</w:t>
            </w:r>
          </w:p>
        </w:tc>
        <w:tc>
          <w:tcPr>
            <w:tcW w:w="1890" w:type="dxa"/>
            <w:tcBorders>
              <w:top w:val="single" w:sz="4" w:space="0" w:color="auto"/>
              <w:left w:val="nil"/>
              <w:bottom w:val="single" w:sz="4" w:space="0" w:color="auto"/>
              <w:right w:val="single" w:sz="4" w:space="0" w:color="auto"/>
            </w:tcBorders>
          </w:tcPr>
          <w:p w:rsidR="005F7448" w:rsidRPr="003D4102" w:rsidRDefault="005F7448" w:rsidP="002535FC">
            <w:pPr>
              <w:pStyle w:val="BodyText"/>
              <w:tabs>
                <w:tab w:val="left" w:pos="360"/>
                <w:tab w:val="left" w:pos="540"/>
                <w:tab w:val="left" w:pos="630"/>
                <w:tab w:val="left" w:pos="1080"/>
              </w:tabs>
              <w:ind w:right="-108" w:hanging="108"/>
              <w:jc w:val="center"/>
              <w:rPr>
                <w:b/>
                <w:sz w:val="18"/>
              </w:rPr>
            </w:pPr>
            <w:r w:rsidRPr="003D4102">
              <w:rPr>
                <w:b/>
                <w:sz w:val="18"/>
              </w:rPr>
              <w:t>PRECEDING YEAR</w:t>
            </w:r>
          </w:p>
          <w:p w:rsidR="005F7448" w:rsidRPr="003D4102" w:rsidRDefault="005F7448" w:rsidP="002535FC">
            <w:pPr>
              <w:pStyle w:val="BodyText"/>
              <w:tabs>
                <w:tab w:val="left" w:pos="360"/>
                <w:tab w:val="left" w:pos="540"/>
                <w:tab w:val="left" w:pos="630"/>
                <w:tab w:val="left" w:pos="1080"/>
              </w:tabs>
              <w:ind w:right="-108" w:hanging="108"/>
              <w:jc w:val="center"/>
              <w:rPr>
                <w:b/>
                <w:sz w:val="18"/>
              </w:rPr>
            </w:pPr>
            <w:r w:rsidRPr="003D4102">
              <w:rPr>
                <w:b/>
                <w:sz w:val="18"/>
              </w:rPr>
              <w:t>CORRESPONDING</w:t>
            </w:r>
          </w:p>
          <w:p w:rsidR="005F7448" w:rsidRPr="003D4102" w:rsidRDefault="005F7448" w:rsidP="002535FC">
            <w:pPr>
              <w:pStyle w:val="BodyText"/>
              <w:tabs>
                <w:tab w:val="left" w:pos="360"/>
                <w:tab w:val="left" w:pos="540"/>
                <w:tab w:val="left" w:pos="630"/>
                <w:tab w:val="left" w:pos="1080"/>
              </w:tabs>
              <w:ind w:right="-108" w:hanging="108"/>
              <w:jc w:val="center"/>
              <w:rPr>
                <w:b/>
                <w:sz w:val="18"/>
              </w:rPr>
            </w:pPr>
            <w:r w:rsidRPr="003D4102">
              <w:rPr>
                <w:b/>
                <w:sz w:val="18"/>
              </w:rPr>
              <w:t>PERIOD</w:t>
            </w:r>
          </w:p>
          <w:p w:rsidR="005F7448" w:rsidRPr="003D4102" w:rsidRDefault="005F7448" w:rsidP="002535FC">
            <w:pPr>
              <w:pStyle w:val="BodyText"/>
              <w:tabs>
                <w:tab w:val="left" w:pos="360"/>
                <w:tab w:val="left" w:pos="540"/>
                <w:tab w:val="left" w:pos="702"/>
                <w:tab w:val="left" w:pos="1080"/>
              </w:tabs>
              <w:ind w:right="-108" w:hanging="108"/>
              <w:jc w:val="center"/>
              <w:rPr>
                <w:b/>
                <w:sz w:val="18"/>
              </w:rPr>
            </w:pPr>
            <w:r w:rsidRPr="003D4102">
              <w:rPr>
                <w:b/>
                <w:sz w:val="18"/>
              </w:rPr>
              <w:t>3</w:t>
            </w:r>
            <w:r>
              <w:rPr>
                <w:b/>
                <w:sz w:val="18"/>
              </w:rPr>
              <w:t>0</w:t>
            </w:r>
            <w:r w:rsidRPr="003D4102">
              <w:rPr>
                <w:b/>
                <w:sz w:val="18"/>
              </w:rPr>
              <w:t>/</w:t>
            </w:r>
            <w:r>
              <w:rPr>
                <w:b/>
                <w:sz w:val="18"/>
              </w:rPr>
              <w:t>6/2011</w:t>
            </w:r>
          </w:p>
          <w:p w:rsidR="005F7448" w:rsidRPr="003D4102" w:rsidRDefault="005F7448" w:rsidP="002535FC">
            <w:pPr>
              <w:pStyle w:val="BodyText"/>
              <w:tabs>
                <w:tab w:val="left" w:pos="360"/>
                <w:tab w:val="left" w:pos="540"/>
                <w:tab w:val="left" w:pos="702"/>
                <w:tab w:val="left" w:pos="1080"/>
              </w:tabs>
              <w:ind w:right="-108" w:hanging="108"/>
              <w:jc w:val="center"/>
              <w:rPr>
                <w:b/>
                <w:sz w:val="18"/>
              </w:rPr>
            </w:pPr>
            <w:r w:rsidRPr="003D4102">
              <w:rPr>
                <w:b/>
                <w:sz w:val="18"/>
              </w:rPr>
              <w:t>RM’000</w:t>
            </w:r>
          </w:p>
        </w:tc>
      </w:tr>
      <w:tr w:rsidR="005F7448" w:rsidRPr="00C9517D" w:rsidTr="002535FC">
        <w:tc>
          <w:tcPr>
            <w:tcW w:w="2880" w:type="dxa"/>
            <w:tcBorders>
              <w:right w:val="single" w:sz="4" w:space="0" w:color="auto"/>
            </w:tcBorders>
            <w:shd w:val="clear" w:color="auto" w:fill="auto"/>
          </w:tcPr>
          <w:p w:rsidR="005F7448" w:rsidRPr="005F1DB7" w:rsidRDefault="005F7448" w:rsidP="002535FC">
            <w:pPr>
              <w:pStyle w:val="BodyText"/>
              <w:ind w:right="-450"/>
              <w:rPr>
                <w:color w:val="auto"/>
                <w:sz w:val="20"/>
              </w:rPr>
            </w:pPr>
          </w:p>
        </w:tc>
        <w:tc>
          <w:tcPr>
            <w:tcW w:w="1170" w:type="dxa"/>
            <w:tcBorders>
              <w:top w:val="single" w:sz="4" w:space="0" w:color="auto"/>
              <w:left w:val="single" w:sz="4" w:space="0" w:color="auto"/>
              <w:right w:val="single" w:sz="4" w:space="0" w:color="auto"/>
            </w:tcBorders>
            <w:shd w:val="clear" w:color="auto" w:fill="auto"/>
          </w:tcPr>
          <w:p w:rsidR="005F7448" w:rsidRPr="006E2B92" w:rsidRDefault="005F7448" w:rsidP="002535FC">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5F7448" w:rsidRPr="00C9517D" w:rsidRDefault="005F7448" w:rsidP="002535FC">
            <w:pPr>
              <w:pStyle w:val="BodyText"/>
              <w:ind w:right="-450" w:hanging="108"/>
              <w:jc w:val="center"/>
              <w:rPr>
                <w:color w:val="auto"/>
                <w:sz w:val="20"/>
                <w:highlight w:val="yellow"/>
              </w:rPr>
            </w:pPr>
          </w:p>
        </w:tc>
        <w:tc>
          <w:tcPr>
            <w:tcW w:w="1170" w:type="dxa"/>
            <w:tcBorders>
              <w:top w:val="single" w:sz="4" w:space="0" w:color="auto"/>
              <w:left w:val="single" w:sz="4" w:space="0" w:color="auto"/>
              <w:right w:val="single" w:sz="4" w:space="0" w:color="auto"/>
            </w:tcBorders>
            <w:shd w:val="clear" w:color="auto" w:fill="auto"/>
          </w:tcPr>
          <w:p w:rsidR="005F7448" w:rsidRPr="006E2B92" w:rsidRDefault="005F7448" w:rsidP="002535FC">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5F7448" w:rsidRPr="00C9517D" w:rsidRDefault="005F7448" w:rsidP="002535FC">
            <w:pPr>
              <w:pStyle w:val="BodyText"/>
              <w:ind w:right="-450" w:hanging="108"/>
              <w:jc w:val="center"/>
              <w:rPr>
                <w:color w:val="auto"/>
                <w:sz w:val="20"/>
                <w:highlight w:val="yellow"/>
              </w:rPr>
            </w:pP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right="-108" w:firstLine="72"/>
              <w:rPr>
                <w:color w:val="auto"/>
                <w:sz w:val="20"/>
              </w:rPr>
            </w:pPr>
            <w:r>
              <w:rPr>
                <w:color w:val="auto"/>
                <w:sz w:val="20"/>
              </w:rPr>
              <w:t>Revenue</w:t>
            </w:r>
          </w:p>
        </w:tc>
        <w:tc>
          <w:tcPr>
            <w:tcW w:w="1170" w:type="dxa"/>
            <w:tcBorders>
              <w:left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Pr>
                <w:b/>
                <w:color w:val="auto"/>
                <w:sz w:val="20"/>
              </w:rPr>
              <w:t xml:space="preserve">  61,332</w:t>
            </w:r>
          </w:p>
        </w:tc>
        <w:tc>
          <w:tcPr>
            <w:tcW w:w="1890" w:type="dxa"/>
            <w:tcBorders>
              <w:left w:val="single" w:sz="4" w:space="0" w:color="auto"/>
              <w:right w:val="single" w:sz="4" w:space="0" w:color="auto"/>
            </w:tcBorders>
            <w:shd w:val="clear" w:color="auto" w:fill="auto"/>
          </w:tcPr>
          <w:p w:rsidR="005F7448" w:rsidRPr="00CD3426" w:rsidRDefault="005F7448" w:rsidP="002535FC">
            <w:pPr>
              <w:pStyle w:val="BodyText"/>
              <w:ind w:right="-18" w:hanging="108"/>
              <w:jc w:val="center"/>
              <w:rPr>
                <w:color w:val="auto"/>
                <w:sz w:val="20"/>
              </w:rPr>
            </w:pPr>
            <w:r>
              <w:rPr>
                <w:color w:val="auto"/>
                <w:sz w:val="20"/>
              </w:rPr>
              <w:t xml:space="preserve">  </w:t>
            </w:r>
            <w:r w:rsidRPr="00CD3426">
              <w:rPr>
                <w:color w:val="auto"/>
                <w:sz w:val="20"/>
              </w:rPr>
              <w:t xml:space="preserve">      </w:t>
            </w:r>
            <w:r>
              <w:rPr>
                <w:color w:val="auto"/>
                <w:sz w:val="20"/>
              </w:rPr>
              <w:t>59,122</w:t>
            </w:r>
          </w:p>
        </w:tc>
        <w:tc>
          <w:tcPr>
            <w:tcW w:w="1170" w:type="dxa"/>
            <w:tcBorders>
              <w:left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sidRPr="006E2B92">
              <w:rPr>
                <w:b/>
                <w:color w:val="auto"/>
                <w:sz w:val="20"/>
              </w:rPr>
              <w:t xml:space="preserve">    </w:t>
            </w:r>
            <w:r>
              <w:rPr>
                <w:b/>
                <w:color w:val="auto"/>
                <w:sz w:val="20"/>
              </w:rPr>
              <w:t>118,841</w:t>
            </w:r>
          </w:p>
        </w:tc>
        <w:tc>
          <w:tcPr>
            <w:tcW w:w="1890" w:type="dxa"/>
            <w:tcBorders>
              <w:left w:val="single" w:sz="4" w:space="0" w:color="auto"/>
              <w:right w:val="single" w:sz="4" w:space="0" w:color="auto"/>
            </w:tcBorders>
            <w:shd w:val="clear" w:color="auto" w:fill="auto"/>
          </w:tcPr>
          <w:p w:rsidR="005F7448" w:rsidRPr="00A92A2D" w:rsidRDefault="005F7448" w:rsidP="002535FC">
            <w:pPr>
              <w:pStyle w:val="BodyText"/>
              <w:ind w:right="-18" w:hanging="108"/>
              <w:jc w:val="center"/>
              <w:rPr>
                <w:color w:val="auto"/>
                <w:sz w:val="20"/>
              </w:rPr>
            </w:pPr>
            <w:r>
              <w:rPr>
                <w:color w:val="auto"/>
                <w:sz w:val="20"/>
              </w:rPr>
              <w:t xml:space="preserve">        116,550</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right="-108" w:firstLine="72"/>
              <w:rPr>
                <w:color w:val="auto"/>
                <w:sz w:val="20"/>
              </w:rPr>
            </w:pPr>
            <w:r>
              <w:rPr>
                <w:color w:val="auto"/>
                <w:sz w:val="20"/>
              </w:rPr>
              <w:t>Operating expenses</w:t>
            </w:r>
          </w:p>
        </w:tc>
        <w:tc>
          <w:tcPr>
            <w:tcW w:w="1170" w:type="dxa"/>
            <w:tcBorders>
              <w:left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sidRPr="006E2B92">
              <w:rPr>
                <w:b/>
                <w:color w:val="auto"/>
                <w:sz w:val="20"/>
              </w:rPr>
              <w:t xml:space="preserve">  </w:t>
            </w:r>
            <w:r>
              <w:rPr>
                <w:b/>
                <w:color w:val="auto"/>
                <w:sz w:val="20"/>
              </w:rPr>
              <w:t>(44,849)</w:t>
            </w:r>
          </w:p>
        </w:tc>
        <w:tc>
          <w:tcPr>
            <w:tcW w:w="1890" w:type="dxa"/>
            <w:tcBorders>
              <w:left w:val="single" w:sz="4" w:space="0" w:color="auto"/>
              <w:right w:val="single" w:sz="4" w:space="0" w:color="auto"/>
            </w:tcBorders>
            <w:shd w:val="clear" w:color="auto" w:fill="auto"/>
          </w:tcPr>
          <w:p w:rsidR="005F7448" w:rsidRPr="00CD3426" w:rsidRDefault="005F7448" w:rsidP="002535FC">
            <w:pPr>
              <w:pStyle w:val="BodyText"/>
              <w:ind w:right="-18" w:hanging="108"/>
              <w:jc w:val="center"/>
              <w:rPr>
                <w:color w:val="auto"/>
                <w:sz w:val="20"/>
              </w:rPr>
            </w:pPr>
            <w:r w:rsidRPr="00CD3426">
              <w:rPr>
                <w:color w:val="auto"/>
                <w:sz w:val="20"/>
              </w:rPr>
              <w:t xml:space="preserve">        </w:t>
            </w:r>
            <w:r>
              <w:rPr>
                <w:color w:val="auto"/>
                <w:sz w:val="20"/>
              </w:rPr>
              <w:t>(45,239)</w:t>
            </w:r>
          </w:p>
        </w:tc>
        <w:tc>
          <w:tcPr>
            <w:tcW w:w="1170" w:type="dxa"/>
            <w:tcBorders>
              <w:left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Pr>
                <w:b/>
                <w:color w:val="auto"/>
                <w:sz w:val="20"/>
              </w:rPr>
              <w:t xml:space="preserve">  </w:t>
            </w:r>
            <w:r w:rsidRPr="006E2B92">
              <w:rPr>
                <w:b/>
                <w:color w:val="auto"/>
                <w:sz w:val="20"/>
              </w:rPr>
              <w:t xml:space="preserve">    </w:t>
            </w:r>
            <w:r>
              <w:rPr>
                <w:b/>
                <w:color w:val="auto"/>
                <w:sz w:val="20"/>
              </w:rPr>
              <w:t>(86,589)</w:t>
            </w:r>
          </w:p>
        </w:tc>
        <w:tc>
          <w:tcPr>
            <w:tcW w:w="1890" w:type="dxa"/>
            <w:tcBorders>
              <w:left w:val="single" w:sz="4" w:space="0" w:color="auto"/>
              <w:right w:val="single" w:sz="4" w:space="0" w:color="auto"/>
            </w:tcBorders>
            <w:shd w:val="clear" w:color="auto" w:fill="auto"/>
          </w:tcPr>
          <w:p w:rsidR="005F7448" w:rsidRPr="00A92A2D" w:rsidRDefault="005F7448" w:rsidP="002535FC">
            <w:pPr>
              <w:pStyle w:val="BodyText"/>
              <w:ind w:right="-18" w:hanging="108"/>
              <w:jc w:val="center"/>
              <w:rPr>
                <w:color w:val="auto"/>
                <w:sz w:val="20"/>
              </w:rPr>
            </w:pPr>
            <w:r>
              <w:rPr>
                <w:color w:val="auto"/>
                <w:sz w:val="20"/>
              </w:rPr>
              <w:t xml:space="preserve">          (86,359)</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right="-108" w:firstLine="72"/>
              <w:jc w:val="left"/>
              <w:rPr>
                <w:color w:val="auto"/>
                <w:sz w:val="20"/>
              </w:rPr>
            </w:pPr>
            <w:r>
              <w:rPr>
                <w:color w:val="auto"/>
                <w:sz w:val="20"/>
              </w:rPr>
              <w:t>Other income</w:t>
            </w:r>
          </w:p>
        </w:tc>
        <w:tc>
          <w:tcPr>
            <w:tcW w:w="1170" w:type="dxa"/>
            <w:tcBorders>
              <w:left w:val="single" w:sz="4" w:space="0" w:color="auto"/>
              <w:bottom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Pr>
                <w:b/>
                <w:color w:val="auto"/>
                <w:sz w:val="20"/>
              </w:rPr>
              <w:t xml:space="preserve">    8,723</w:t>
            </w:r>
          </w:p>
        </w:tc>
        <w:tc>
          <w:tcPr>
            <w:tcW w:w="1890" w:type="dxa"/>
            <w:tcBorders>
              <w:left w:val="single" w:sz="4" w:space="0" w:color="auto"/>
              <w:bottom w:val="single" w:sz="4" w:space="0" w:color="auto"/>
              <w:right w:val="single" w:sz="4" w:space="0" w:color="auto"/>
            </w:tcBorders>
            <w:shd w:val="clear" w:color="auto" w:fill="auto"/>
          </w:tcPr>
          <w:p w:rsidR="005F7448" w:rsidRPr="00CD3426" w:rsidRDefault="005F7448" w:rsidP="002535FC">
            <w:pPr>
              <w:pStyle w:val="BodyText"/>
              <w:ind w:right="-18" w:hanging="108"/>
              <w:jc w:val="center"/>
              <w:rPr>
                <w:color w:val="auto"/>
                <w:sz w:val="20"/>
              </w:rPr>
            </w:pPr>
            <w:r>
              <w:rPr>
                <w:color w:val="auto"/>
                <w:sz w:val="20"/>
              </w:rPr>
              <w:t xml:space="preserve">          7,473</w:t>
            </w:r>
          </w:p>
        </w:tc>
        <w:tc>
          <w:tcPr>
            <w:tcW w:w="1170" w:type="dxa"/>
            <w:tcBorders>
              <w:left w:val="single" w:sz="4" w:space="0" w:color="auto"/>
              <w:bottom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sidRPr="006E2B92">
              <w:rPr>
                <w:b/>
                <w:color w:val="auto"/>
                <w:sz w:val="20"/>
              </w:rPr>
              <w:t xml:space="preserve">    </w:t>
            </w:r>
            <w:r>
              <w:rPr>
                <w:b/>
                <w:color w:val="auto"/>
                <w:sz w:val="20"/>
              </w:rPr>
              <w:t xml:space="preserve">  16</w:t>
            </w:r>
            <w:r w:rsidRPr="006E2B92">
              <w:rPr>
                <w:b/>
                <w:color w:val="auto"/>
                <w:sz w:val="20"/>
              </w:rPr>
              <w:t>,</w:t>
            </w:r>
            <w:r>
              <w:rPr>
                <w:b/>
                <w:color w:val="auto"/>
                <w:sz w:val="20"/>
              </w:rPr>
              <w:t>682</w:t>
            </w:r>
          </w:p>
        </w:tc>
        <w:tc>
          <w:tcPr>
            <w:tcW w:w="1890" w:type="dxa"/>
            <w:tcBorders>
              <w:left w:val="single" w:sz="4" w:space="0" w:color="auto"/>
              <w:bottom w:val="single" w:sz="4" w:space="0" w:color="auto"/>
              <w:right w:val="single" w:sz="4" w:space="0" w:color="auto"/>
            </w:tcBorders>
            <w:shd w:val="clear" w:color="auto" w:fill="auto"/>
          </w:tcPr>
          <w:p w:rsidR="005F7448" w:rsidRPr="00A92A2D" w:rsidRDefault="005F7448" w:rsidP="002535FC">
            <w:pPr>
              <w:pStyle w:val="BodyText"/>
              <w:ind w:right="-18" w:hanging="108"/>
              <w:jc w:val="center"/>
              <w:rPr>
                <w:color w:val="auto"/>
                <w:sz w:val="20"/>
              </w:rPr>
            </w:pPr>
            <w:r>
              <w:rPr>
                <w:color w:val="auto"/>
                <w:sz w:val="20"/>
              </w:rPr>
              <w:t xml:space="preserve">         13,416</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right="-108" w:firstLine="72"/>
              <w:rPr>
                <w:color w:val="auto"/>
                <w:sz w:val="20"/>
              </w:rPr>
            </w:pPr>
            <w:r>
              <w:rPr>
                <w:color w:val="auto"/>
                <w:sz w:val="20"/>
              </w:rPr>
              <w:t>Profit before finance costs</w:t>
            </w:r>
          </w:p>
        </w:tc>
        <w:tc>
          <w:tcPr>
            <w:tcW w:w="1170" w:type="dxa"/>
            <w:tcBorders>
              <w:top w:val="single" w:sz="4" w:space="0" w:color="auto"/>
              <w:left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sidRPr="006E2B92">
              <w:rPr>
                <w:b/>
                <w:color w:val="auto"/>
                <w:sz w:val="20"/>
              </w:rPr>
              <w:t xml:space="preserve">  </w:t>
            </w:r>
            <w:r>
              <w:rPr>
                <w:b/>
                <w:color w:val="auto"/>
                <w:sz w:val="20"/>
              </w:rPr>
              <w:t>2</w:t>
            </w:r>
            <w:r w:rsidRPr="006E2B92">
              <w:rPr>
                <w:b/>
                <w:color w:val="auto"/>
                <w:sz w:val="20"/>
              </w:rPr>
              <w:t>5,</w:t>
            </w:r>
            <w:r>
              <w:rPr>
                <w:b/>
                <w:color w:val="auto"/>
                <w:sz w:val="20"/>
              </w:rPr>
              <w:t>206</w:t>
            </w:r>
          </w:p>
        </w:tc>
        <w:tc>
          <w:tcPr>
            <w:tcW w:w="1890" w:type="dxa"/>
            <w:tcBorders>
              <w:top w:val="single" w:sz="4" w:space="0" w:color="auto"/>
              <w:left w:val="single" w:sz="4" w:space="0" w:color="auto"/>
              <w:right w:val="single" w:sz="4" w:space="0" w:color="auto"/>
            </w:tcBorders>
            <w:shd w:val="clear" w:color="auto" w:fill="auto"/>
          </w:tcPr>
          <w:p w:rsidR="005F7448" w:rsidRPr="00CD3426" w:rsidRDefault="005F7448" w:rsidP="002535FC">
            <w:pPr>
              <w:pStyle w:val="BodyText"/>
              <w:ind w:right="-18" w:hanging="108"/>
              <w:jc w:val="center"/>
              <w:rPr>
                <w:color w:val="auto"/>
                <w:sz w:val="20"/>
              </w:rPr>
            </w:pPr>
            <w:r w:rsidRPr="00CD3426">
              <w:rPr>
                <w:color w:val="auto"/>
                <w:sz w:val="20"/>
              </w:rPr>
              <w:t xml:space="preserve">        </w:t>
            </w:r>
            <w:r>
              <w:rPr>
                <w:color w:val="auto"/>
                <w:sz w:val="20"/>
              </w:rPr>
              <w:t>21</w:t>
            </w:r>
            <w:r w:rsidRPr="00CD3426">
              <w:rPr>
                <w:color w:val="auto"/>
                <w:sz w:val="20"/>
              </w:rPr>
              <w:t>,</w:t>
            </w:r>
            <w:r>
              <w:rPr>
                <w:color w:val="auto"/>
                <w:sz w:val="20"/>
              </w:rPr>
              <w:t>356</w:t>
            </w:r>
          </w:p>
        </w:tc>
        <w:tc>
          <w:tcPr>
            <w:tcW w:w="1170" w:type="dxa"/>
            <w:tcBorders>
              <w:top w:val="single" w:sz="4" w:space="0" w:color="auto"/>
              <w:left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Pr>
                <w:b/>
                <w:color w:val="auto"/>
                <w:sz w:val="20"/>
              </w:rPr>
              <w:t xml:space="preserve">      48,934</w:t>
            </w:r>
          </w:p>
        </w:tc>
        <w:tc>
          <w:tcPr>
            <w:tcW w:w="1890" w:type="dxa"/>
            <w:tcBorders>
              <w:top w:val="single" w:sz="4" w:space="0" w:color="auto"/>
              <w:left w:val="single" w:sz="4" w:space="0" w:color="auto"/>
              <w:right w:val="single" w:sz="4" w:space="0" w:color="auto"/>
            </w:tcBorders>
            <w:shd w:val="clear" w:color="auto" w:fill="auto"/>
          </w:tcPr>
          <w:p w:rsidR="005F7448" w:rsidRPr="00A92A2D" w:rsidRDefault="005F7448" w:rsidP="002535FC">
            <w:pPr>
              <w:pStyle w:val="BodyText"/>
              <w:ind w:right="-18" w:hanging="108"/>
              <w:jc w:val="center"/>
              <w:rPr>
                <w:color w:val="auto"/>
                <w:sz w:val="20"/>
              </w:rPr>
            </w:pPr>
            <w:r>
              <w:rPr>
                <w:color w:val="auto"/>
                <w:sz w:val="20"/>
              </w:rPr>
              <w:t xml:space="preserve">          43</w:t>
            </w:r>
            <w:r w:rsidRPr="00A92A2D">
              <w:rPr>
                <w:color w:val="auto"/>
                <w:sz w:val="20"/>
              </w:rPr>
              <w:t>,</w:t>
            </w:r>
            <w:r>
              <w:rPr>
                <w:color w:val="auto"/>
                <w:sz w:val="20"/>
              </w:rPr>
              <w:t>607</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right="-108" w:firstLine="72"/>
              <w:rPr>
                <w:color w:val="auto"/>
                <w:sz w:val="20"/>
              </w:rPr>
            </w:pPr>
            <w:r>
              <w:rPr>
                <w:color w:val="auto"/>
                <w:sz w:val="20"/>
              </w:rPr>
              <w:t>Finance costs</w:t>
            </w:r>
          </w:p>
        </w:tc>
        <w:tc>
          <w:tcPr>
            <w:tcW w:w="1170" w:type="dxa"/>
            <w:tcBorders>
              <w:left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sidRPr="006E2B92">
              <w:rPr>
                <w:b/>
                <w:color w:val="auto"/>
                <w:sz w:val="20"/>
              </w:rPr>
              <w:t xml:space="preserve">    </w:t>
            </w:r>
            <w:r>
              <w:rPr>
                <w:b/>
                <w:color w:val="auto"/>
                <w:sz w:val="20"/>
              </w:rPr>
              <w:t>(8,550)</w:t>
            </w:r>
          </w:p>
        </w:tc>
        <w:tc>
          <w:tcPr>
            <w:tcW w:w="1890" w:type="dxa"/>
            <w:tcBorders>
              <w:left w:val="single" w:sz="4" w:space="0" w:color="auto"/>
              <w:right w:val="single" w:sz="4" w:space="0" w:color="auto"/>
            </w:tcBorders>
            <w:shd w:val="clear" w:color="auto" w:fill="auto"/>
          </w:tcPr>
          <w:p w:rsidR="005F7448" w:rsidRPr="00CD3426" w:rsidRDefault="005F7448" w:rsidP="002535FC">
            <w:pPr>
              <w:pStyle w:val="BodyText"/>
              <w:ind w:right="-18" w:hanging="108"/>
              <w:jc w:val="center"/>
              <w:rPr>
                <w:color w:val="auto"/>
                <w:sz w:val="20"/>
              </w:rPr>
            </w:pPr>
            <w:r w:rsidRPr="00CD3426">
              <w:rPr>
                <w:color w:val="auto"/>
                <w:sz w:val="20"/>
              </w:rPr>
              <w:t xml:space="preserve">        </w:t>
            </w:r>
            <w:r>
              <w:rPr>
                <w:color w:val="auto"/>
                <w:sz w:val="20"/>
              </w:rPr>
              <w:t xml:space="preserve">  (8,221)</w:t>
            </w:r>
          </w:p>
        </w:tc>
        <w:tc>
          <w:tcPr>
            <w:tcW w:w="1170" w:type="dxa"/>
            <w:tcBorders>
              <w:left w:val="single" w:sz="4" w:space="0" w:color="auto"/>
              <w:right w:val="single" w:sz="4" w:space="0" w:color="auto"/>
            </w:tcBorders>
            <w:shd w:val="clear" w:color="auto" w:fill="auto"/>
          </w:tcPr>
          <w:p w:rsidR="005F7448" w:rsidRPr="006E2B92" w:rsidRDefault="005F7448" w:rsidP="002535FC">
            <w:pPr>
              <w:pStyle w:val="BodyText"/>
              <w:ind w:right="-18" w:hanging="108"/>
              <w:jc w:val="center"/>
              <w:rPr>
                <w:b/>
                <w:color w:val="auto"/>
                <w:sz w:val="20"/>
              </w:rPr>
            </w:pPr>
            <w:r w:rsidRPr="006E2B92">
              <w:rPr>
                <w:b/>
                <w:color w:val="auto"/>
                <w:sz w:val="20"/>
              </w:rPr>
              <w:t xml:space="preserve">      </w:t>
            </w:r>
            <w:r>
              <w:rPr>
                <w:b/>
                <w:color w:val="auto"/>
                <w:sz w:val="20"/>
              </w:rPr>
              <w:t>(17,162)</w:t>
            </w:r>
          </w:p>
        </w:tc>
        <w:tc>
          <w:tcPr>
            <w:tcW w:w="1890" w:type="dxa"/>
            <w:tcBorders>
              <w:left w:val="single" w:sz="4" w:space="0" w:color="auto"/>
              <w:right w:val="single" w:sz="4" w:space="0" w:color="auto"/>
            </w:tcBorders>
            <w:shd w:val="clear" w:color="auto" w:fill="auto"/>
          </w:tcPr>
          <w:p w:rsidR="005F7448" w:rsidRPr="00A92A2D" w:rsidRDefault="005F7448" w:rsidP="002535FC">
            <w:pPr>
              <w:pStyle w:val="BodyText"/>
              <w:ind w:right="-18" w:hanging="108"/>
              <w:jc w:val="center"/>
              <w:rPr>
                <w:color w:val="auto"/>
                <w:sz w:val="20"/>
              </w:rPr>
            </w:pPr>
            <w:r>
              <w:rPr>
                <w:color w:val="auto"/>
                <w:sz w:val="20"/>
              </w:rPr>
              <w:t xml:space="preserve">          (</w:t>
            </w:r>
            <w:r w:rsidRPr="00A92A2D">
              <w:rPr>
                <w:color w:val="auto"/>
                <w:sz w:val="20"/>
              </w:rPr>
              <w:t>1</w:t>
            </w:r>
            <w:r>
              <w:rPr>
                <w:color w:val="auto"/>
                <w:sz w:val="20"/>
              </w:rPr>
              <w:t>6</w:t>
            </w:r>
            <w:r w:rsidRPr="00A92A2D">
              <w:rPr>
                <w:color w:val="auto"/>
                <w:sz w:val="20"/>
              </w:rPr>
              <w:t>,</w:t>
            </w:r>
            <w:r>
              <w:rPr>
                <w:color w:val="auto"/>
                <w:sz w:val="20"/>
              </w:rPr>
              <w:t>201)</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right="-108" w:firstLine="72"/>
              <w:rPr>
                <w:color w:val="auto"/>
                <w:sz w:val="20"/>
              </w:rPr>
            </w:pPr>
            <w:r>
              <w:rPr>
                <w:color w:val="auto"/>
                <w:sz w:val="20"/>
              </w:rPr>
              <w:t>Share of results of associate</w:t>
            </w:r>
          </w:p>
        </w:tc>
        <w:tc>
          <w:tcPr>
            <w:tcW w:w="1170" w:type="dxa"/>
            <w:tcBorders>
              <w:left w:val="single" w:sz="4" w:space="0" w:color="auto"/>
              <w:bottom w:val="single" w:sz="4" w:space="0" w:color="auto"/>
              <w:right w:val="single" w:sz="4" w:space="0" w:color="auto"/>
            </w:tcBorders>
            <w:shd w:val="clear" w:color="auto" w:fill="auto"/>
          </w:tcPr>
          <w:p w:rsidR="005F7448" w:rsidRPr="006E2B92" w:rsidRDefault="005F7448" w:rsidP="002535FC">
            <w:pPr>
              <w:pStyle w:val="BodyText"/>
              <w:ind w:left="-18" w:right="-450" w:hanging="108"/>
              <w:rPr>
                <w:b/>
                <w:color w:val="auto"/>
                <w:sz w:val="20"/>
              </w:rPr>
            </w:pPr>
            <w:r>
              <w:rPr>
                <w:b/>
                <w:color w:val="auto"/>
                <w:sz w:val="20"/>
              </w:rPr>
              <w:t xml:space="preserve">           777</w:t>
            </w:r>
          </w:p>
        </w:tc>
        <w:tc>
          <w:tcPr>
            <w:tcW w:w="1890" w:type="dxa"/>
            <w:tcBorders>
              <w:left w:val="single" w:sz="4" w:space="0" w:color="auto"/>
              <w:bottom w:val="single" w:sz="4" w:space="0" w:color="auto"/>
              <w:right w:val="single" w:sz="4" w:space="0" w:color="auto"/>
            </w:tcBorders>
            <w:shd w:val="clear" w:color="auto" w:fill="auto"/>
          </w:tcPr>
          <w:p w:rsidR="005F7448" w:rsidRPr="00CD3426" w:rsidRDefault="005F7448" w:rsidP="002535FC">
            <w:pPr>
              <w:pStyle w:val="BodyText"/>
              <w:ind w:left="-18" w:right="-450" w:hanging="108"/>
              <w:jc w:val="center"/>
              <w:rPr>
                <w:color w:val="auto"/>
                <w:sz w:val="20"/>
              </w:rPr>
            </w:pPr>
            <w:r>
              <w:rPr>
                <w:color w:val="auto"/>
                <w:sz w:val="20"/>
              </w:rPr>
              <w:t xml:space="preserve">     746</w:t>
            </w:r>
          </w:p>
        </w:tc>
        <w:tc>
          <w:tcPr>
            <w:tcW w:w="1170" w:type="dxa"/>
            <w:tcBorders>
              <w:left w:val="single" w:sz="4" w:space="0" w:color="auto"/>
              <w:bottom w:val="single" w:sz="4" w:space="0" w:color="auto"/>
              <w:right w:val="single" w:sz="4" w:space="0" w:color="auto"/>
            </w:tcBorders>
            <w:shd w:val="clear" w:color="auto" w:fill="auto"/>
          </w:tcPr>
          <w:p w:rsidR="005F7448" w:rsidRPr="006E2B92" w:rsidRDefault="005F7448" w:rsidP="002535FC">
            <w:pPr>
              <w:pStyle w:val="BodyText"/>
              <w:ind w:left="-18" w:right="-450" w:hanging="108"/>
              <w:rPr>
                <w:b/>
                <w:color w:val="auto"/>
                <w:sz w:val="20"/>
              </w:rPr>
            </w:pPr>
            <w:r>
              <w:rPr>
                <w:b/>
                <w:color w:val="auto"/>
                <w:sz w:val="20"/>
              </w:rPr>
              <w:t xml:space="preserve">  </w:t>
            </w:r>
            <w:r w:rsidRPr="006E2B92">
              <w:rPr>
                <w:b/>
                <w:color w:val="auto"/>
                <w:sz w:val="20"/>
              </w:rPr>
              <w:t xml:space="preserve">        </w:t>
            </w:r>
            <w:r>
              <w:rPr>
                <w:b/>
                <w:color w:val="auto"/>
                <w:sz w:val="20"/>
              </w:rPr>
              <w:t>1,840</w:t>
            </w:r>
          </w:p>
        </w:tc>
        <w:tc>
          <w:tcPr>
            <w:tcW w:w="1890" w:type="dxa"/>
            <w:tcBorders>
              <w:left w:val="single" w:sz="4" w:space="0" w:color="auto"/>
              <w:bottom w:val="single" w:sz="4" w:space="0" w:color="auto"/>
              <w:right w:val="single" w:sz="4" w:space="0" w:color="auto"/>
            </w:tcBorders>
            <w:shd w:val="clear" w:color="auto" w:fill="auto"/>
          </w:tcPr>
          <w:p w:rsidR="005F7448" w:rsidRPr="00A92A2D" w:rsidRDefault="005F7448" w:rsidP="002535FC">
            <w:pPr>
              <w:pStyle w:val="BodyText"/>
              <w:ind w:left="-18" w:right="-450" w:hanging="108"/>
              <w:jc w:val="center"/>
              <w:rPr>
                <w:color w:val="auto"/>
                <w:sz w:val="20"/>
              </w:rPr>
            </w:pPr>
            <w:r>
              <w:rPr>
                <w:color w:val="auto"/>
                <w:sz w:val="20"/>
              </w:rPr>
              <w:t xml:space="preserve">    1,319</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right="-108" w:firstLine="72"/>
              <w:rPr>
                <w:color w:val="auto"/>
                <w:sz w:val="20"/>
              </w:rPr>
            </w:pPr>
            <w:r>
              <w:rPr>
                <w:color w:val="auto"/>
                <w:sz w:val="20"/>
              </w:rPr>
              <w:t xml:space="preserve">Profit before tax </w:t>
            </w:r>
          </w:p>
        </w:tc>
        <w:tc>
          <w:tcPr>
            <w:tcW w:w="1170" w:type="dxa"/>
            <w:tcBorders>
              <w:top w:val="single" w:sz="4" w:space="0" w:color="auto"/>
              <w:left w:val="single" w:sz="4" w:space="0" w:color="auto"/>
              <w:right w:val="single" w:sz="4" w:space="0" w:color="auto"/>
            </w:tcBorders>
            <w:shd w:val="clear" w:color="auto" w:fill="auto"/>
          </w:tcPr>
          <w:p w:rsidR="005F7448" w:rsidRPr="006E2B92" w:rsidRDefault="005F7448" w:rsidP="002535FC">
            <w:pPr>
              <w:pStyle w:val="BodyText"/>
              <w:ind w:right="-450" w:hanging="108"/>
              <w:rPr>
                <w:b/>
                <w:color w:val="auto"/>
                <w:sz w:val="20"/>
              </w:rPr>
            </w:pPr>
            <w:r>
              <w:rPr>
                <w:b/>
                <w:color w:val="auto"/>
                <w:sz w:val="20"/>
              </w:rPr>
              <w:t xml:space="preserve">   </w:t>
            </w:r>
            <w:r w:rsidRPr="006E2B92">
              <w:rPr>
                <w:b/>
                <w:color w:val="auto"/>
                <w:sz w:val="20"/>
              </w:rPr>
              <w:t xml:space="preserve">   1</w:t>
            </w:r>
            <w:r>
              <w:rPr>
                <w:b/>
                <w:color w:val="auto"/>
                <w:sz w:val="20"/>
              </w:rPr>
              <w:t>7,433</w:t>
            </w:r>
          </w:p>
        </w:tc>
        <w:tc>
          <w:tcPr>
            <w:tcW w:w="1890" w:type="dxa"/>
            <w:tcBorders>
              <w:top w:val="single" w:sz="4" w:space="0" w:color="auto"/>
              <w:left w:val="single" w:sz="4" w:space="0" w:color="auto"/>
              <w:right w:val="single" w:sz="4" w:space="0" w:color="auto"/>
            </w:tcBorders>
            <w:shd w:val="clear" w:color="auto" w:fill="auto"/>
          </w:tcPr>
          <w:p w:rsidR="005F7448" w:rsidRPr="00CD3426" w:rsidRDefault="005F7448" w:rsidP="002535FC">
            <w:pPr>
              <w:pStyle w:val="BodyText"/>
              <w:ind w:right="-450" w:hanging="108"/>
              <w:rPr>
                <w:color w:val="auto"/>
                <w:sz w:val="20"/>
              </w:rPr>
            </w:pPr>
            <w:r>
              <w:rPr>
                <w:color w:val="auto"/>
                <w:sz w:val="20"/>
              </w:rPr>
              <w:t xml:space="preserve">   </w:t>
            </w:r>
            <w:r w:rsidRPr="00CD3426">
              <w:rPr>
                <w:color w:val="auto"/>
                <w:sz w:val="20"/>
              </w:rPr>
              <w:t xml:space="preserve">      </w:t>
            </w:r>
            <w:r>
              <w:rPr>
                <w:color w:val="auto"/>
                <w:sz w:val="20"/>
              </w:rPr>
              <w:t xml:space="preserve">       13,881</w:t>
            </w:r>
          </w:p>
        </w:tc>
        <w:tc>
          <w:tcPr>
            <w:tcW w:w="1170" w:type="dxa"/>
            <w:tcBorders>
              <w:top w:val="single" w:sz="4" w:space="0" w:color="auto"/>
              <w:left w:val="single" w:sz="4" w:space="0" w:color="auto"/>
              <w:right w:val="single" w:sz="4" w:space="0" w:color="auto"/>
            </w:tcBorders>
            <w:shd w:val="clear" w:color="auto" w:fill="auto"/>
          </w:tcPr>
          <w:p w:rsidR="005F7448" w:rsidRPr="006E2B92" w:rsidRDefault="005F7448" w:rsidP="002535FC">
            <w:pPr>
              <w:pStyle w:val="BodyText"/>
              <w:ind w:right="-450" w:hanging="108"/>
              <w:rPr>
                <w:b/>
                <w:color w:val="auto"/>
                <w:sz w:val="20"/>
              </w:rPr>
            </w:pPr>
            <w:r>
              <w:rPr>
                <w:b/>
                <w:color w:val="auto"/>
                <w:sz w:val="20"/>
              </w:rPr>
              <w:t xml:space="preserve">  </w:t>
            </w:r>
            <w:r w:rsidRPr="006E2B92">
              <w:rPr>
                <w:b/>
                <w:color w:val="auto"/>
                <w:sz w:val="20"/>
              </w:rPr>
              <w:t xml:space="preserve">      </w:t>
            </w:r>
            <w:r>
              <w:rPr>
                <w:b/>
                <w:color w:val="auto"/>
                <w:sz w:val="20"/>
              </w:rPr>
              <w:t>33,612</w:t>
            </w:r>
          </w:p>
        </w:tc>
        <w:tc>
          <w:tcPr>
            <w:tcW w:w="1890" w:type="dxa"/>
            <w:tcBorders>
              <w:top w:val="single" w:sz="4" w:space="0" w:color="auto"/>
              <w:left w:val="single" w:sz="4" w:space="0" w:color="auto"/>
              <w:right w:val="single" w:sz="4" w:space="0" w:color="auto"/>
            </w:tcBorders>
            <w:shd w:val="clear" w:color="auto" w:fill="auto"/>
          </w:tcPr>
          <w:p w:rsidR="005F7448" w:rsidRPr="00A92A2D" w:rsidRDefault="005F7448" w:rsidP="002535FC">
            <w:pPr>
              <w:pStyle w:val="BodyText"/>
              <w:ind w:right="-450" w:hanging="108"/>
              <w:jc w:val="center"/>
              <w:rPr>
                <w:color w:val="auto"/>
                <w:sz w:val="20"/>
              </w:rPr>
            </w:pPr>
            <w:r>
              <w:rPr>
                <w:color w:val="auto"/>
                <w:sz w:val="20"/>
              </w:rPr>
              <w:t xml:space="preserve">  28,725</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left="72" w:right="-450"/>
              <w:rPr>
                <w:color w:val="auto"/>
                <w:sz w:val="20"/>
              </w:rPr>
            </w:pPr>
            <w:r>
              <w:rPr>
                <w:color w:val="auto"/>
                <w:sz w:val="20"/>
              </w:rPr>
              <w:t>Taxation</w:t>
            </w:r>
          </w:p>
        </w:tc>
        <w:tc>
          <w:tcPr>
            <w:tcW w:w="1170" w:type="dxa"/>
            <w:tcBorders>
              <w:left w:val="single" w:sz="4" w:space="0" w:color="auto"/>
              <w:right w:val="single" w:sz="4" w:space="0" w:color="auto"/>
            </w:tcBorders>
            <w:shd w:val="clear" w:color="auto" w:fill="auto"/>
          </w:tcPr>
          <w:p w:rsidR="005F7448" w:rsidRPr="006E2B92" w:rsidRDefault="005F7448" w:rsidP="002535FC">
            <w:pPr>
              <w:pStyle w:val="BodyText"/>
              <w:ind w:right="-450" w:hanging="108"/>
              <w:rPr>
                <w:b/>
                <w:color w:val="auto"/>
                <w:sz w:val="20"/>
              </w:rPr>
            </w:pPr>
            <w:r>
              <w:rPr>
                <w:b/>
                <w:color w:val="auto"/>
                <w:sz w:val="20"/>
              </w:rPr>
              <w:t xml:space="preserve">   </w:t>
            </w:r>
            <w:r w:rsidRPr="006E2B92">
              <w:rPr>
                <w:b/>
                <w:color w:val="auto"/>
                <w:sz w:val="20"/>
              </w:rPr>
              <w:t xml:space="preserve">   (</w:t>
            </w:r>
            <w:r>
              <w:rPr>
                <w:b/>
                <w:color w:val="auto"/>
                <w:sz w:val="20"/>
              </w:rPr>
              <w:t>4</w:t>
            </w:r>
            <w:r w:rsidRPr="006E2B92">
              <w:rPr>
                <w:b/>
                <w:color w:val="auto"/>
                <w:sz w:val="20"/>
              </w:rPr>
              <w:t>,</w:t>
            </w:r>
            <w:r>
              <w:rPr>
                <w:b/>
                <w:color w:val="auto"/>
                <w:sz w:val="20"/>
              </w:rPr>
              <w:t>064</w:t>
            </w:r>
            <w:r w:rsidRPr="006E2B92">
              <w:rPr>
                <w:b/>
                <w:color w:val="auto"/>
                <w:sz w:val="20"/>
              </w:rPr>
              <w:t>)</w:t>
            </w:r>
          </w:p>
        </w:tc>
        <w:tc>
          <w:tcPr>
            <w:tcW w:w="1890" w:type="dxa"/>
            <w:tcBorders>
              <w:left w:val="single" w:sz="4" w:space="0" w:color="auto"/>
              <w:right w:val="single" w:sz="4" w:space="0" w:color="auto"/>
            </w:tcBorders>
            <w:shd w:val="clear" w:color="auto" w:fill="auto"/>
          </w:tcPr>
          <w:p w:rsidR="005F7448" w:rsidRPr="00CD3426" w:rsidRDefault="005F7448" w:rsidP="002535FC">
            <w:pPr>
              <w:pStyle w:val="BodyText"/>
              <w:ind w:right="-450" w:hanging="108"/>
              <w:jc w:val="center"/>
              <w:rPr>
                <w:color w:val="auto"/>
                <w:sz w:val="20"/>
              </w:rPr>
            </w:pPr>
            <w:r>
              <w:rPr>
                <w:color w:val="auto"/>
                <w:sz w:val="20"/>
              </w:rPr>
              <w:t xml:space="preserve">   </w:t>
            </w:r>
            <w:r w:rsidRPr="00CD3426">
              <w:rPr>
                <w:color w:val="auto"/>
                <w:sz w:val="20"/>
              </w:rPr>
              <w:t>(</w:t>
            </w:r>
            <w:r>
              <w:rPr>
                <w:color w:val="auto"/>
                <w:sz w:val="20"/>
              </w:rPr>
              <w:t>3</w:t>
            </w:r>
            <w:r w:rsidRPr="00CD3426">
              <w:rPr>
                <w:color w:val="auto"/>
                <w:sz w:val="20"/>
              </w:rPr>
              <w:t>,</w:t>
            </w:r>
            <w:r>
              <w:rPr>
                <w:color w:val="auto"/>
                <w:sz w:val="20"/>
              </w:rPr>
              <w:t>735</w:t>
            </w:r>
            <w:r w:rsidRPr="00CD3426">
              <w:rPr>
                <w:color w:val="auto"/>
                <w:sz w:val="20"/>
              </w:rPr>
              <w:t>)</w:t>
            </w:r>
          </w:p>
        </w:tc>
        <w:tc>
          <w:tcPr>
            <w:tcW w:w="1170" w:type="dxa"/>
            <w:tcBorders>
              <w:left w:val="single" w:sz="4" w:space="0" w:color="auto"/>
              <w:right w:val="single" w:sz="4" w:space="0" w:color="auto"/>
            </w:tcBorders>
            <w:shd w:val="clear" w:color="auto" w:fill="auto"/>
          </w:tcPr>
          <w:p w:rsidR="005F7448" w:rsidRPr="006E2B92" w:rsidRDefault="005F7448" w:rsidP="002535FC">
            <w:pPr>
              <w:pStyle w:val="BodyText"/>
              <w:ind w:right="-450" w:hanging="108"/>
              <w:rPr>
                <w:b/>
                <w:color w:val="auto"/>
                <w:sz w:val="20"/>
              </w:rPr>
            </w:pPr>
            <w:r w:rsidRPr="006E2B92">
              <w:rPr>
                <w:b/>
                <w:color w:val="auto"/>
                <w:sz w:val="20"/>
              </w:rPr>
              <w:t xml:space="preserve">   </w:t>
            </w:r>
            <w:r>
              <w:rPr>
                <w:b/>
                <w:color w:val="auto"/>
                <w:sz w:val="20"/>
              </w:rPr>
              <w:t xml:space="preserve">   </w:t>
            </w:r>
            <w:r w:rsidRPr="006E2B92">
              <w:rPr>
                <w:b/>
                <w:color w:val="auto"/>
                <w:sz w:val="20"/>
              </w:rPr>
              <w:t xml:space="preserve">  (</w:t>
            </w:r>
            <w:r>
              <w:rPr>
                <w:b/>
                <w:color w:val="auto"/>
                <w:sz w:val="20"/>
              </w:rPr>
              <w:t>7,576</w:t>
            </w:r>
            <w:r w:rsidRPr="006E2B92">
              <w:rPr>
                <w:b/>
                <w:color w:val="auto"/>
                <w:sz w:val="20"/>
              </w:rPr>
              <w:t>)</w:t>
            </w:r>
          </w:p>
        </w:tc>
        <w:tc>
          <w:tcPr>
            <w:tcW w:w="1890" w:type="dxa"/>
            <w:tcBorders>
              <w:left w:val="single" w:sz="4" w:space="0" w:color="auto"/>
              <w:right w:val="single" w:sz="4" w:space="0" w:color="auto"/>
            </w:tcBorders>
            <w:shd w:val="clear" w:color="auto" w:fill="auto"/>
          </w:tcPr>
          <w:p w:rsidR="005F7448" w:rsidRPr="00A92A2D" w:rsidRDefault="005F7448" w:rsidP="002535FC">
            <w:pPr>
              <w:pStyle w:val="BodyText"/>
              <w:ind w:right="-450" w:hanging="108"/>
              <w:jc w:val="center"/>
              <w:rPr>
                <w:color w:val="auto"/>
                <w:sz w:val="20"/>
              </w:rPr>
            </w:pPr>
            <w:r>
              <w:rPr>
                <w:color w:val="auto"/>
                <w:sz w:val="20"/>
              </w:rPr>
              <w:t xml:space="preserve">    </w:t>
            </w:r>
            <w:r w:rsidRPr="00A92A2D">
              <w:rPr>
                <w:color w:val="auto"/>
                <w:sz w:val="20"/>
              </w:rPr>
              <w:t>(</w:t>
            </w:r>
            <w:r>
              <w:rPr>
                <w:color w:val="auto"/>
                <w:sz w:val="20"/>
              </w:rPr>
              <w:t>7</w:t>
            </w:r>
            <w:r w:rsidRPr="00A92A2D">
              <w:rPr>
                <w:color w:val="auto"/>
                <w:sz w:val="20"/>
              </w:rPr>
              <w:t>,</w:t>
            </w:r>
            <w:r>
              <w:rPr>
                <w:color w:val="auto"/>
                <w:sz w:val="20"/>
              </w:rPr>
              <w:t>247</w:t>
            </w:r>
            <w:r w:rsidRPr="00A92A2D">
              <w:rPr>
                <w:color w:val="auto"/>
                <w:sz w:val="20"/>
              </w:rPr>
              <w:t>)</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right="-450" w:hanging="1800"/>
              <w:jc w:val="left"/>
              <w:rPr>
                <w:color w:val="auto"/>
                <w:sz w:val="20"/>
              </w:rPr>
            </w:pPr>
            <w:proofErr w:type="spellStart"/>
            <w:r w:rsidRPr="005F1DB7">
              <w:rPr>
                <w:color w:val="auto"/>
                <w:sz w:val="20"/>
              </w:rPr>
              <w:t>Rehklhhklh</w:t>
            </w:r>
            <w:proofErr w:type="spellEnd"/>
            <w:r w:rsidRPr="005F1DB7">
              <w:rPr>
                <w:color w:val="auto"/>
                <w:sz w:val="20"/>
              </w:rPr>
              <w:t xml:space="preserve">                   </w:t>
            </w:r>
            <w:r>
              <w:rPr>
                <w:color w:val="auto"/>
                <w:sz w:val="20"/>
              </w:rPr>
              <w:t>Profit after tax</w:t>
            </w:r>
          </w:p>
        </w:tc>
        <w:tc>
          <w:tcPr>
            <w:tcW w:w="1170" w:type="dxa"/>
            <w:tcBorders>
              <w:top w:val="single" w:sz="8" w:space="0" w:color="auto"/>
              <w:left w:val="single" w:sz="4" w:space="0" w:color="auto"/>
              <w:right w:val="single" w:sz="4" w:space="0" w:color="auto"/>
            </w:tcBorders>
            <w:shd w:val="clear" w:color="auto" w:fill="auto"/>
          </w:tcPr>
          <w:p w:rsidR="005F7448" w:rsidRPr="006E2B92" w:rsidRDefault="005F7448" w:rsidP="002535FC">
            <w:pPr>
              <w:pStyle w:val="BodyText"/>
              <w:ind w:right="-450" w:hanging="108"/>
              <w:rPr>
                <w:b/>
                <w:color w:val="auto"/>
                <w:sz w:val="20"/>
              </w:rPr>
            </w:pPr>
            <w:r>
              <w:rPr>
                <w:b/>
                <w:color w:val="auto"/>
                <w:sz w:val="20"/>
              </w:rPr>
              <w:t xml:space="preserve">  </w:t>
            </w:r>
            <w:r w:rsidRPr="006E2B92">
              <w:rPr>
                <w:b/>
                <w:color w:val="auto"/>
                <w:sz w:val="20"/>
              </w:rPr>
              <w:t xml:space="preserve">    </w:t>
            </w:r>
            <w:r>
              <w:rPr>
                <w:b/>
                <w:color w:val="auto"/>
                <w:sz w:val="20"/>
              </w:rPr>
              <w:t>13,369</w:t>
            </w:r>
          </w:p>
        </w:tc>
        <w:tc>
          <w:tcPr>
            <w:tcW w:w="1890" w:type="dxa"/>
            <w:tcBorders>
              <w:top w:val="single" w:sz="8" w:space="0" w:color="auto"/>
              <w:left w:val="single" w:sz="4" w:space="0" w:color="auto"/>
              <w:right w:val="single" w:sz="4" w:space="0" w:color="auto"/>
            </w:tcBorders>
            <w:shd w:val="clear" w:color="auto" w:fill="auto"/>
          </w:tcPr>
          <w:p w:rsidR="005F7448" w:rsidRPr="00CD3426" w:rsidRDefault="005F7448" w:rsidP="002535FC">
            <w:pPr>
              <w:pStyle w:val="BodyText"/>
              <w:ind w:right="-450" w:hanging="108"/>
              <w:rPr>
                <w:color w:val="auto"/>
                <w:sz w:val="20"/>
              </w:rPr>
            </w:pPr>
            <w:r w:rsidRPr="00CD3426">
              <w:rPr>
                <w:color w:val="auto"/>
                <w:sz w:val="20"/>
              </w:rPr>
              <w:t xml:space="preserve">      </w:t>
            </w:r>
            <w:r>
              <w:rPr>
                <w:color w:val="auto"/>
                <w:sz w:val="20"/>
              </w:rPr>
              <w:t xml:space="preserve">          10,146</w:t>
            </w:r>
          </w:p>
        </w:tc>
        <w:tc>
          <w:tcPr>
            <w:tcW w:w="1170" w:type="dxa"/>
            <w:tcBorders>
              <w:top w:val="single" w:sz="8" w:space="0" w:color="auto"/>
              <w:left w:val="single" w:sz="4" w:space="0" w:color="auto"/>
              <w:right w:val="single" w:sz="4" w:space="0" w:color="auto"/>
            </w:tcBorders>
            <w:shd w:val="clear" w:color="auto" w:fill="auto"/>
          </w:tcPr>
          <w:p w:rsidR="005F7448" w:rsidRPr="006E2B92" w:rsidRDefault="005F7448" w:rsidP="002535FC">
            <w:pPr>
              <w:pStyle w:val="BodyText"/>
              <w:ind w:right="-450" w:hanging="108"/>
              <w:rPr>
                <w:b/>
                <w:color w:val="auto"/>
                <w:sz w:val="20"/>
              </w:rPr>
            </w:pPr>
            <w:r w:rsidRPr="006E2B92">
              <w:rPr>
                <w:b/>
                <w:color w:val="auto"/>
                <w:sz w:val="20"/>
              </w:rPr>
              <w:t xml:space="preserve">   </w:t>
            </w:r>
            <w:r>
              <w:rPr>
                <w:b/>
                <w:color w:val="auto"/>
                <w:sz w:val="20"/>
              </w:rPr>
              <w:t xml:space="preserve">     26,036</w:t>
            </w:r>
          </w:p>
        </w:tc>
        <w:tc>
          <w:tcPr>
            <w:tcW w:w="1890" w:type="dxa"/>
            <w:tcBorders>
              <w:top w:val="single" w:sz="8" w:space="0" w:color="auto"/>
              <w:left w:val="single" w:sz="4" w:space="0" w:color="auto"/>
              <w:right w:val="single" w:sz="4" w:space="0" w:color="auto"/>
            </w:tcBorders>
            <w:shd w:val="clear" w:color="auto" w:fill="auto"/>
          </w:tcPr>
          <w:p w:rsidR="005F7448" w:rsidRPr="00A92A2D" w:rsidRDefault="005F7448" w:rsidP="002535FC">
            <w:pPr>
              <w:pStyle w:val="BodyText"/>
              <w:ind w:right="-450" w:hanging="108"/>
              <w:rPr>
                <w:color w:val="auto"/>
                <w:sz w:val="20"/>
              </w:rPr>
            </w:pPr>
            <w:r>
              <w:rPr>
                <w:color w:val="auto"/>
                <w:sz w:val="20"/>
              </w:rPr>
              <w:t xml:space="preserve">                 21,478</w:t>
            </w:r>
          </w:p>
        </w:tc>
      </w:tr>
      <w:tr w:rsidR="005F7448" w:rsidRPr="00A92A2D" w:rsidTr="002535FC">
        <w:tc>
          <w:tcPr>
            <w:tcW w:w="2880" w:type="dxa"/>
            <w:tcBorders>
              <w:right w:val="single" w:sz="4" w:space="0" w:color="auto"/>
            </w:tcBorders>
            <w:shd w:val="clear" w:color="auto" w:fill="auto"/>
          </w:tcPr>
          <w:p w:rsidR="005F7448" w:rsidRPr="005F1DB7" w:rsidRDefault="005F7448" w:rsidP="002535FC">
            <w:pPr>
              <w:pStyle w:val="BodyText"/>
              <w:ind w:left="72" w:right="-108"/>
              <w:jc w:val="left"/>
              <w:rPr>
                <w:color w:val="auto"/>
                <w:sz w:val="20"/>
              </w:rPr>
            </w:pPr>
            <w:r>
              <w:rPr>
                <w:color w:val="auto"/>
                <w:sz w:val="20"/>
              </w:rPr>
              <w:t>Intercompany elimination</w:t>
            </w:r>
          </w:p>
        </w:tc>
        <w:tc>
          <w:tcPr>
            <w:tcW w:w="1170" w:type="dxa"/>
            <w:tcBorders>
              <w:left w:val="single" w:sz="4" w:space="0" w:color="auto"/>
              <w:bottom w:val="single" w:sz="8" w:space="0" w:color="auto"/>
              <w:right w:val="single" w:sz="4" w:space="0" w:color="auto"/>
            </w:tcBorders>
            <w:shd w:val="clear" w:color="auto" w:fill="auto"/>
          </w:tcPr>
          <w:p w:rsidR="005F7448" w:rsidRPr="006E2B92" w:rsidRDefault="005F7448" w:rsidP="002535FC">
            <w:pPr>
              <w:pStyle w:val="BodyText"/>
              <w:ind w:right="-450" w:hanging="108"/>
              <w:rPr>
                <w:b/>
                <w:color w:val="auto"/>
                <w:sz w:val="20"/>
              </w:rPr>
            </w:pPr>
            <w:r>
              <w:rPr>
                <w:b/>
                <w:color w:val="auto"/>
                <w:sz w:val="20"/>
              </w:rPr>
              <w:t xml:space="preserve">  </w:t>
            </w:r>
            <w:r w:rsidRPr="006E2B92">
              <w:rPr>
                <w:b/>
                <w:color w:val="auto"/>
                <w:sz w:val="20"/>
              </w:rPr>
              <w:t xml:space="preserve">     </w:t>
            </w:r>
            <w:r>
              <w:rPr>
                <w:b/>
                <w:color w:val="auto"/>
                <w:sz w:val="20"/>
              </w:rPr>
              <w:t>(1,200)</w:t>
            </w:r>
          </w:p>
        </w:tc>
        <w:tc>
          <w:tcPr>
            <w:tcW w:w="1890" w:type="dxa"/>
            <w:tcBorders>
              <w:left w:val="single" w:sz="4" w:space="0" w:color="auto"/>
              <w:bottom w:val="single" w:sz="8" w:space="0" w:color="auto"/>
              <w:right w:val="single" w:sz="4" w:space="0" w:color="auto"/>
            </w:tcBorders>
            <w:shd w:val="clear" w:color="auto" w:fill="auto"/>
          </w:tcPr>
          <w:p w:rsidR="005F7448" w:rsidRPr="00CD3426" w:rsidRDefault="005F7448" w:rsidP="002535FC">
            <w:pPr>
              <w:pStyle w:val="BodyText"/>
              <w:ind w:right="-450" w:hanging="108"/>
              <w:jc w:val="center"/>
              <w:rPr>
                <w:color w:val="auto"/>
                <w:sz w:val="20"/>
              </w:rPr>
            </w:pPr>
            <w:r>
              <w:rPr>
                <w:color w:val="auto"/>
                <w:sz w:val="20"/>
              </w:rPr>
              <w:t xml:space="preserve">   (1,189)</w:t>
            </w:r>
          </w:p>
        </w:tc>
        <w:tc>
          <w:tcPr>
            <w:tcW w:w="1170" w:type="dxa"/>
            <w:tcBorders>
              <w:left w:val="single" w:sz="4" w:space="0" w:color="auto"/>
              <w:bottom w:val="single" w:sz="8" w:space="0" w:color="auto"/>
              <w:right w:val="single" w:sz="4" w:space="0" w:color="auto"/>
            </w:tcBorders>
            <w:shd w:val="clear" w:color="auto" w:fill="auto"/>
          </w:tcPr>
          <w:p w:rsidR="005F7448" w:rsidRPr="006E2B92" w:rsidRDefault="005F7448" w:rsidP="002535FC">
            <w:pPr>
              <w:pStyle w:val="BodyText"/>
              <w:ind w:right="-450" w:hanging="108"/>
              <w:rPr>
                <w:b/>
                <w:color w:val="auto"/>
                <w:sz w:val="20"/>
              </w:rPr>
            </w:pPr>
            <w:r>
              <w:rPr>
                <w:b/>
                <w:color w:val="auto"/>
                <w:sz w:val="20"/>
              </w:rPr>
              <w:t xml:space="preserve">  </w:t>
            </w:r>
            <w:r w:rsidRPr="006E2B92">
              <w:rPr>
                <w:b/>
                <w:color w:val="auto"/>
                <w:sz w:val="20"/>
              </w:rPr>
              <w:t xml:space="preserve">   </w:t>
            </w:r>
            <w:r>
              <w:rPr>
                <w:b/>
                <w:color w:val="auto"/>
                <w:sz w:val="20"/>
              </w:rPr>
              <w:t xml:space="preserve">    (2,364)</w:t>
            </w:r>
          </w:p>
        </w:tc>
        <w:tc>
          <w:tcPr>
            <w:tcW w:w="1890" w:type="dxa"/>
            <w:tcBorders>
              <w:left w:val="single" w:sz="4" w:space="0" w:color="auto"/>
              <w:bottom w:val="single" w:sz="8" w:space="0" w:color="auto"/>
              <w:right w:val="single" w:sz="4" w:space="0" w:color="auto"/>
            </w:tcBorders>
            <w:shd w:val="clear" w:color="auto" w:fill="auto"/>
          </w:tcPr>
          <w:p w:rsidR="005F7448" w:rsidRPr="00A92A2D" w:rsidRDefault="005F7448" w:rsidP="002535FC">
            <w:pPr>
              <w:pStyle w:val="BodyText"/>
              <w:ind w:right="-450" w:hanging="108"/>
              <w:jc w:val="center"/>
              <w:rPr>
                <w:color w:val="auto"/>
                <w:sz w:val="20"/>
              </w:rPr>
            </w:pPr>
            <w:r>
              <w:rPr>
                <w:color w:val="auto"/>
                <w:sz w:val="20"/>
              </w:rPr>
              <w:t xml:space="preserve">     (2,341)</w:t>
            </w:r>
          </w:p>
        </w:tc>
      </w:tr>
      <w:tr w:rsidR="005F7448" w:rsidRPr="00A92A2D" w:rsidTr="002535FC">
        <w:tc>
          <w:tcPr>
            <w:tcW w:w="2880" w:type="dxa"/>
            <w:tcBorders>
              <w:right w:val="single" w:sz="4" w:space="0" w:color="auto"/>
            </w:tcBorders>
            <w:shd w:val="clear" w:color="auto" w:fill="auto"/>
          </w:tcPr>
          <w:p w:rsidR="005F7448" w:rsidRDefault="005F7448" w:rsidP="002535FC">
            <w:pPr>
              <w:pStyle w:val="BodyText"/>
              <w:ind w:right="-450" w:hanging="1800"/>
              <w:jc w:val="left"/>
              <w:rPr>
                <w:color w:val="auto"/>
                <w:sz w:val="20"/>
              </w:rPr>
            </w:pPr>
            <w:r w:rsidRPr="005F1DB7">
              <w:rPr>
                <w:color w:val="auto"/>
                <w:sz w:val="20"/>
              </w:rPr>
              <w:t xml:space="preserve">                                   </w:t>
            </w:r>
            <w:r>
              <w:rPr>
                <w:color w:val="auto"/>
                <w:sz w:val="20"/>
              </w:rPr>
              <w:t xml:space="preserve">   Profit from discontinued </w:t>
            </w:r>
          </w:p>
          <w:p w:rsidR="005F7448" w:rsidRPr="005F1DB7" w:rsidRDefault="005F7448" w:rsidP="002535FC">
            <w:pPr>
              <w:pStyle w:val="BodyText"/>
              <w:ind w:right="-450" w:firstLine="72"/>
              <w:jc w:val="left"/>
              <w:rPr>
                <w:color w:val="auto"/>
                <w:sz w:val="20"/>
              </w:rPr>
            </w:pPr>
            <w:r>
              <w:rPr>
                <w:color w:val="auto"/>
                <w:sz w:val="20"/>
              </w:rPr>
              <w:t xml:space="preserve">operation, net of tax                </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5F7448" w:rsidRDefault="005F7448" w:rsidP="002535FC">
            <w:pPr>
              <w:pStyle w:val="BodyText"/>
              <w:ind w:right="-450" w:hanging="108"/>
              <w:rPr>
                <w:b/>
                <w:color w:val="auto"/>
                <w:sz w:val="20"/>
              </w:rPr>
            </w:pPr>
            <w:r w:rsidRPr="006E2B92">
              <w:rPr>
                <w:b/>
                <w:color w:val="auto"/>
                <w:sz w:val="20"/>
              </w:rPr>
              <w:t xml:space="preserve">   </w:t>
            </w:r>
          </w:p>
          <w:p w:rsidR="005F7448" w:rsidRPr="006E2B92" w:rsidRDefault="005F7448" w:rsidP="002535FC">
            <w:pPr>
              <w:pStyle w:val="BodyText"/>
              <w:ind w:right="-450" w:hanging="108"/>
              <w:rPr>
                <w:b/>
                <w:color w:val="auto"/>
                <w:sz w:val="20"/>
              </w:rPr>
            </w:pPr>
            <w:r>
              <w:rPr>
                <w:b/>
                <w:color w:val="auto"/>
                <w:sz w:val="20"/>
              </w:rPr>
              <w:t xml:space="preserve">      12,169</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5F7448" w:rsidRDefault="005F7448" w:rsidP="002535FC">
            <w:pPr>
              <w:pStyle w:val="BodyText"/>
              <w:ind w:right="-450" w:hanging="108"/>
              <w:rPr>
                <w:color w:val="auto"/>
                <w:sz w:val="20"/>
              </w:rPr>
            </w:pPr>
          </w:p>
          <w:p w:rsidR="005F7448" w:rsidRPr="00CD3426" w:rsidRDefault="005F7448" w:rsidP="002535FC">
            <w:pPr>
              <w:pStyle w:val="BodyText"/>
              <w:ind w:right="-450" w:hanging="108"/>
              <w:rPr>
                <w:color w:val="auto"/>
                <w:sz w:val="20"/>
              </w:rPr>
            </w:pPr>
            <w:r>
              <w:rPr>
                <w:color w:val="auto"/>
                <w:sz w:val="20"/>
              </w:rPr>
              <w:t xml:space="preserve">    </w:t>
            </w:r>
            <w:r w:rsidRPr="00CD3426">
              <w:rPr>
                <w:color w:val="auto"/>
                <w:sz w:val="20"/>
              </w:rPr>
              <w:t xml:space="preserve">       </w:t>
            </w:r>
            <w:r>
              <w:rPr>
                <w:color w:val="auto"/>
                <w:sz w:val="20"/>
              </w:rPr>
              <w:t xml:space="preserve">       8,957</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5F7448" w:rsidRDefault="005F7448" w:rsidP="002535FC">
            <w:pPr>
              <w:pStyle w:val="BodyText"/>
              <w:ind w:right="-450" w:hanging="108"/>
              <w:rPr>
                <w:b/>
                <w:color w:val="auto"/>
                <w:sz w:val="20"/>
              </w:rPr>
            </w:pPr>
            <w:r>
              <w:rPr>
                <w:b/>
                <w:color w:val="auto"/>
                <w:sz w:val="20"/>
              </w:rPr>
              <w:t xml:space="preserve"> </w:t>
            </w:r>
          </w:p>
          <w:p w:rsidR="005F7448" w:rsidRPr="006E2B92" w:rsidRDefault="005F7448" w:rsidP="002535FC">
            <w:pPr>
              <w:pStyle w:val="BodyText"/>
              <w:ind w:right="-450" w:hanging="108"/>
              <w:rPr>
                <w:b/>
                <w:color w:val="auto"/>
                <w:sz w:val="20"/>
              </w:rPr>
            </w:pPr>
            <w:r>
              <w:rPr>
                <w:b/>
                <w:color w:val="auto"/>
                <w:sz w:val="20"/>
              </w:rPr>
              <w:t xml:space="preserve"> </w:t>
            </w:r>
            <w:r w:rsidRPr="006E2B92">
              <w:rPr>
                <w:b/>
                <w:color w:val="auto"/>
                <w:sz w:val="20"/>
              </w:rPr>
              <w:t xml:space="preserve"> </w:t>
            </w:r>
            <w:r>
              <w:rPr>
                <w:b/>
                <w:color w:val="auto"/>
                <w:sz w:val="20"/>
              </w:rPr>
              <w:t xml:space="preserve">      23,672</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5F7448" w:rsidRDefault="005F7448" w:rsidP="002535FC">
            <w:pPr>
              <w:pStyle w:val="BodyText"/>
              <w:ind w:right="-450" w:hanging="108"/>
              <w:rPr>
                <w:color w:val="auto"/>
                <w:sz w:val="20"/>
              </w:rPr>
            </w:pPr>
            <w:r>
              <w:rPr>
                <w:color w:val="auto"/>
                <w:sz w:val="20"/>
              </w:rPr>
              <w:t xml:space="preserve">            </w:t>
            </w:r>
          </w:p>
          <w:p w:rsidR="005F7448" w:rsidRPr="00A92A2D" w:rsidRDefault="005F7448" w:rsidP="002535FC">
            <w:pPr>
              <w:pStyle w:val="BodyText"/>
              <w:ind w:right="-450" w:hanging="108"/>
              <w:rPr>
                <w:color w:val="auto"/>
                <w:sz w:val="20"/>
              </w:rPr>
            </w:pPr>
            <w:r>
              <w:rPr>
                <w:color w:val="auto"/>
                <w:sz w:val="20"/>
              </w:rPr>
              <w:t xml:space="preserve">                 19,137</w:t>
            </w:r>
          </w:p>
        </w:tc>
      </w:tr>
    </w:tbl>
    <w:p w:rsidR="00B92A1E" w:rsidRDefault="00B92A1E" w:rsidP="009B4F28">
      <w:pPr>
        <w:pStyle w:val="BodyTextIndent3"/>
        <w:ind w:right="-450"/>
      </w:pPr>
    </w:p>
    <w:p w:rsidR="005F7448" w:rsidRDefault="005F7448" w:rsidP="009B4F28">
      <w:pPr>
        <w:pStyle w:val="BodyTextIndent3"/>
        <w:ind w:right="-450"/>
      </w:pPr>
    </w:p>
    <w:p w:rsidR="0059386B" w:rsidRDefault="00491580" w:rsidP="00491580">
      <w:pPr>
        <w:pStyle w:val="BodyText"/>
        <w:ind w:right="-450" w:hanging="1800"/>
        <w:rPr>
          <w:b/>
          <w:snapToGrid/>
          <w:color w:val="auto"/>
          <w:sz w:val="20"/>
        </w:rPr>
      </w:pPr>
      <w:r>
        <w:rPr>
          <w:sz w:val="20"/>
        </w:rPr>
        <w:t>A3</w:t>
      </w:r>
      <w:r>
        <w:rPr>
          <w:sz w:val="20"/>
        </w:rPr>
        <w:tab/>
      </w:r>
      <w:r w:rsidR="00E56B7A" w:rsidRPr="00764F09">
        <w:rPr>
          <w:b/>
          <w:sz w:val="20"/>
        </w:rPr>
        <w:t>A</w:t>
      </w:r>
      <w:r w:rsidR="0005011F">
        <w:rPr>
          <w:b/>
          <w:sz w:val="20"/>
        </w:rPr>
        <w:t>4</w:t>
      </w:r>
      <w:r w:rsidR="00E56B7A">
        <w:rPr>
          <w:sz w:val="20"/>
        </w:rPr>
        <w:tab/>
      </w:r>
      <w:r w:rsidR="0059386B" w:rsidRPr="00EE0BF5">
        <w:rPr>
          <w:b/>
          <w:snapToGrid/>
          <w:color w:val="auto"/>
          <w:sz w:val="20"/>
        </w:rPr>
        <w:t>Seasonal or cyclical factors</w:t>
      </w:r>
    </w:p>
    <w:p w:rsidR="00EE0BF5" w:rsidRDefault="00EE0BF5" w:rsidP="00491580">
      <w:pPr>
        <w:pStyle w:val="BodyText"/>
        <w:ind w:right="-450" w:hanging="1800"/>
        <w:rPr>
          <w:b/>
          <w:sz w:val="20"/>
        </w:rPr>
      </w:pPr>
    </w:p>
    <w:p w:rsidR="0059386B" w:rsidRDefault="00491580" w:rsidP="00491580">
      <w:pPr>
        <w:pStyle w:val="BodyText"/>
        <w:ind w:left="720" w:right="-450" w:hanging="1800"/>
        <w:rPr>
          <w:sz w:val="20"/>
        </w:rPr>
      </w:pPr>
      <w:r>
        <w:rPr>
          <w:sz w:val="20"/>
        </w:rPr>
        <w:tab/>
      </w:r>
      <w:r w:rsidR="0059386B">
        <w:rPr>
          <w:sz w:val="20"/>
        </w:rPr>
        <w:t xml:space="preserve">The operations of the Group were not materially affected by any seasonal or cyclical factors except for the </w:t>
      </w:r>
      <w:r w:rsidR="00382942">
        <w:rPr>
          <w:sz w:val="20"/>
        </w:rPr>
        <w:t xml:space="preserve">Papua New Guinea </w:t>
      </w:r>
      <w:r w:rsidR="00EE0BF5">
        <w:rPr>
          <w:sz w:val="20"/>
        </w:rPr>
        <w:t>Agriculture</w:t>
      </w:r>
      <w:r w:rsidR="00FD7DA5">
        <w:rPr>
          <w:sz w:val="20"/>
        </w:rPr>
        <w:t xml:space="preserve"> </w:t>
      </w:r>
      <w:r w:rsidR="00382942">
        <w:rPr>
          <w:sz w:val="20"/>
        </w:rPr>
        <w:t>Segment</w:t>
      </w:r>
      <w:r w:rsidR="0059386B">
        <w:rPr>
          <w:sz w:val="20"/>
        </w:rPr>
        <w:t>.</w:t>
      </w:r>
    </w:p>
    <w:p w:rsidR="00CB116E" w:rsidRDefault="00CB116E" w:rsidP="00491580">
      <w:pPr>
        <w:pStyle w:val="BodyText"/>
        <w:ind w:left="720" w:right="-450" w:hanging="1800"/>
        <w:rPr>
          <w:sz w:val="20"/>
        </w:rPr>
      </w:pPr>
    </w:p>
    <w:p w:rsidR="00544045" w:rsidRDefault="00544045" w:rsidP="00491580">
      <w:pPr>
        <w:pStyle w:val="BodyText"/>
        <w:ind w:left="720" w:right="-450" w:hanging="1800"/>
        <w:rPr>
          <w:sz w:val="20"/>
        </w:rPr>
      </w:pPr>
    </w:p>
    <w:p w:rsidR="0007788A" w:rsidRDefault="00491580" w:rsidP="00491580">
      <w:pPr>
        <w:pStyle w:val="BodyText"/>
        <w:ind w:right="-450" w:hanging="1440"/>
        <w:rPr>
          <w:b/>
          <w:sz w:val="20"/>
        </w:rPr>
      </w:pPr>
      <w:r>
        <w:rPr>
          <w:sz w:val="20"/>
        </w:rPr>
        <w:tab/>
      </w:r>
      <w:r w:rsidR="0059386B" w:rsidRPr="00764F09">
        <w:rPr>
          <w:b/>
          <w:sz w:val="20"/>
        </w:rPr>
        <w:t>A</w:t>
      </w:r>
      <w:r w:rsidR="0005011F">
        <w:rPr>
          <w:b/>
          <w:sz w:val="20"/>
        </w:rPr>
        <w:t>5</w:t>
      </w:r>
      <w:r w:rsidR="0059386B">
        <w:rPr>
          <w:sz w:val="20"/>
        </w:rPr>
        <w:tab/>
      </w:r>
      <w:r w:rsidR="0059386B">
        <w:rPr>
          <w:b/>
          <w:sz w:val="20"/>
        </w:rPr>
        <w:t>Unusual items due to their nature, size or incidence</w:t>
      </w:r>
    </w:p>
    <w:p w:rsidR="008F03F9" w:rsidRDefault="008F03F9" w:rsidP="00491580">
      <w:pPr>
        <w:pStyle w:val="BodyText"/>
        <w:ind w:right="-450" w:hanging="1440"/>
        <w:rPr>
          <w:b/>
          <w:sz w:val="20"/>
        </w:rPr>
      </w:pPr>
    </w:p>
    <w:p w:rsidR="008F03F9" w:rsidRDefault="008F03F9" w:rsidP="008F03F9">
      <w:pPr>
        <w:pStyle w:val="BodyText"/>
        <w:ind w:left="720" w:right="-450" w:hanging="1800"/>
        <w:rPr>
          <w:sz w:val="20"/>
        </w:rPr>
      </w:pPr>
      <w:r>
        <w:rPr>
          <w:b/>
          <w:sz w:val="20"/>
        </w:rPr>
        <w:tab/>
      </w:r>
      <w:r>
        <w:rPr>
          <w:sz w:val="20"/>
        </w:rPr>
        <w:t xml:space="preserve">Included in operating expenses </w:t>
      </w:r>
      <w:r w:rsidR="00B44831">
        <w:rPr>
          <w:sz w:val="20"/>
        </w:rPr>
        <w:t>are</w:t>
      </w:r>
      <w:r>
        <w:rPr>
          <w:sz w:val="20"/>
        </w:rPr>
        <w:t xml:space="preserve"> the following non-recurring item</w:t>
      </w:r>
      <w:r w:rsidR="00B44831">
        <w:rPr>
          <w:sz w:val="20"/>
        </w:rPr>
        <w:t>s</w:t>
      </w:r>
      <w:r>
        <w:rPr>
          <w:sz w:val="20"/>
        </w:rPr>
        <w:t>:-</w:t>
      </w:r>
    </w:p>
    <w:p w:rsidR="008F03F9" w:rsidRDefault="008F03F9" w:rsidP="008F03F9">
      <w:pPr>
        <w:pStyle w:val="BodyText"/>
        <w:ind w:left="720" w:right="-450" w:hanging="1800"/>
        <w:rPr>
          <w:sz w:val="20"/>
        </w:rPr>
      </w:pPr>
      <w:r>
        <w:rPr>
          <w:sz w:val="20"/>
        </w:rPr>
        <w:tab/>
      </w:r>
    </w:p>
    <w:tbl>
      <w:tblPr>
        <w:tblW w:w="9000" w:type="dxa"/>
        <w:tblInd w:w="828" w:type="dxa"/>
        <w:tblLayout w:type="fixed"/>
        <w:tblLook w:val="0000"/>
      </w:tblPr>
      <w:tblGrid>
        <w:gridCol w:w="450"/>
        <w:gridCol w:w="2430"/>
        <w:gridCol w:w="1170"/>
        <w:gridCol w:w="1890"/>
        <w:gridCol w:w="1170"/>
        <w:gridCol w:w="1890"/>
      </w:tblGrid>
      <w:tr w:rsidR="008F03F9" w:rsidTr="00063A1C">
        <w:trPr>
          <w:cantSplit/>
        </w:trPr>
        <w:tc>
          <w:tcPr>
            <w:tcW w:w="450" w:type="dxa"/>
          </w:tcPr>
          <w:p w:rsidR="008F03F9" w:rsidRDefault="008F03F9" w:rsidP="008F03F9">
            <w:pPr>
              <w:pStyle w:val="BodyText"/>
              <w:ind w:right="-450" w:hanging="1800"/>
              <w:rPr>
                <w:sz w:val="20"/>
              </w:rPr>
            </w:pPr>
          </w:p>
        </w:tc>
        <w:tc>
          <w:tcPr>
            <w:tcW w:w="2430" w:type="dxa"/>
          </w:tcPr>
          <w:p w:rsidR="008F03F9" w:rsidRDefault="008F03F9" w:rsidP="008F03F9">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8F03F9" w:rsidRDefault="008F03F9" w:rsidP="008F03F9">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8F03F9" w:rsidRDefault="008F03F9" w:rsidP="008F03F9">
            <w:pPr>
              <w:pStyle w:val="BodyText"/>
              <w:ind w:right="-108" w:hanging="108"/>
              <w:jc w:val="center"/>
              <w:rPr>
                <w:b/>
                <w:sz w:val="18"/>
              </w:rPr>
            </w:pPr>
            <w:r>
              <w:rPr>
                <w:b/>
                <w:sz w:val="18"/>
              </w:rPr>
              <w:t>CUMULATIVE QUARTER</w:t>
            </w:r>
          </w:p>
        </w:tc>
      </w:tr>
      <w:tr w:rsidR="008F03F9" w:rsidRPr="00A366C5" w:rsidTr="00063A1C">
        <w:tc>
          <w:tcPr>
            <w:tcW w:w="450" w:type="dxa"/>
          </w:tcPr>
          <w:p w:rsidR="008F03F9" w:rsidRDefault="008F03F9" w:rsidP="008F03F9">
            <w:pPr>
              <w:pStyle w:val="BodyText"/>
              <w:ind w:left="-108" w:right="-450" w:hanging="1800"/>
              <w:rPr>
                <w:b/>
                <w:sz w:val="20"/>
              </w:rPr>
            </w:pPr>
          </w:p>
        </w:tc>
        <w:tc>
          <w:tcPr>
            <w:tcW w:w="2430" w:type="dxa"/>
          </w:tcPr>
          <w:p w:rsidR="008F03F9" w:rsidRPr="0024709B" w:rsidRDefault="008F03F9" w:rsidP="008F03F9">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CURRENT</w:t>
            </w:r>
          </w:p>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YEAR</w:t>
            </w:r>
          </w:p>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QUARTER</w:t>
            </w:r>
          </w:p>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3</w:t>
            </w:r>
            <w:r>
              <w:rPr>
                <w:b/>
                <w:sz w:val="18"/>
              </w:rPr>
              <w:t>0</w:t>
            </w:r>
            <w:r w:rsidRPr="0024709B">
              <w:rPr>
                <w:b/>
                <w:sz w:val="18"/>
              </w:rPr>
              <w:t>/</w:t>
            </w:r>
            <w:r>
              <w:rPr>
                <w:b/>
                <w:sz w:val="18"/>
              </w:rPr>
              <w:t>6</w:t>
            </w:r>
            <w:r w:rsidRPr="0024709B">
              <w:rPr>
                <w:b/>
                <w:sz w:val="18"/>
              </w:rPr>
              <w:t>/201</w:t>
            </w:r>
            <w:r>
              <w:rPr>
                <w:b/>
                <w:sz w:val="18"/>
              </w:rPr>
              <w:t>2</w:t>
            </w:r>
          </w:p>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PRECEDING YEAR</w:t>
            </w:r>
          </w:p>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CORRESPONDING</w:t>
            </w:r>
          </w:p>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QUARTER</w:t>
            </w:r>
          </w:p>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3</w:t>
            </w:r>
            <w:r>
              <w:rPr>
                <w:b/>
                <w:sz w:val="18"/>
              </w:rPr>
              <w:t>0</w:t>
            </w:r>
            <w:r w:rsidRPr="0024709B">
              <w:rPr>
                <w:b/>
                <w:sz w:val="18"/>
              </w:rPr>
              <w:t>/</w:t>
            </w:r>
            <w:r>
              <w:rPr>
                <w:b/>
                <w:sz w:val="18"/>
              </w:rPr>
              <w:t>6/2011</w:t>
            </w:r>
          </w:p>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8F03F9" w:rsidRPr="0024709B" w:rsidRDefault="008F03F9" w:rsidP="008F03F9">
            <w:pPr>
              <w:pStyle w:val="BodyText"/>
              <w:tabs>
                <w:tab w:val="left" w:pos="360"/>
                <w:tab w:val="left" w:pos="540"/>
                <w:tab w:val="left" w:pos="630"/>
                <w:tab w:val="left" w:pos="1080"/>
              </w:tabs>
              <w:ind w:right="-108" w:hanging="108"/>
              <w:jc w:val="center"/>
              <w:rPr>
                <w:b/>
                <w:sz w:val="18"/>
              </w:rPr>
            </w:pPr>
            <w:r w:rsidRPr="0024709B">
              <w:rPr>
                <w:b/>
                <w:sz w:val="18"/>
              </w:rPr>
              <w:t>CURRENT</w:t>
            </w:r>
          </w:p>
          <w:p w:rsidR="008F03F9" w:rsidRPr="0024709B" w:rsidRDefault="008F03F9" w:rsidP="008F03F9">
            <w:pPr>
              <w:pStyle w:val="BodyText"/>
              <w:tabs>
                <w:tab w:val="left" w:pos="360"/>
                <w:tab w:val="left" w:pos="540"/>
                <w:tab w:val="left" w:pos="630"/>
                <w:tab w:val="left" w:pos="1080"/>
              </w:tabs>
              <w:ind w:right="-108" w:hanging="108"/>
              <w:jc w:val="center"/>
              <w:rPr>
                <w:b/>
                <w:sz w:val="18"/>
              </w:rPr>
            </w:pPr>
            <w:r w:rsidRPr="0024709B">
              <w:rPr>
                <w:b/>
                <w:sz w:val="18"/>
              </w:rPr>
              <w:t>YEAR TO DATE</w:t>
            </w:r>
          </w:p>
          <w:p w:rsidR="008F03F9" w:rsidRPr="0024709B" w:rsidRDefault="008F03F9" w:rsidP="008F03F9">
            <w:pPr>
              <w:pStyle w:val="BodyText"/>
              <w:tabs>
                <w:tab w:val="left" w:pos="360"/>
                <w:tab w:val="left" w:pos="540"/>
                <w:tab w:val="left" w:pos="630"/>
                <w:tab w:val="left" w:pos="1080"/>
              </w:tabs>
              <w:ind w:right="-108" w:hanging="108"/>
              <w:jc w:val="center"/>
              <w:rPr>
                <w:b/>
                <w:sz w:val="18"/>
              </w:rPr>
            </w:pPr>
            <w:r w:rsidRPr="0024709B">
              <w:rPr>
                <w:b/>
                <w:sz w:val="18"/>
              </w:rPr>
              <w:t>3</w:t>
            </w:r>
            <w:r>
              <w:rPr>
                <w:b/>
                <w:sz w:val="18"/>
              </w:rPr>
              <w:t>0</w:t>
            </w:r>
            <w:r w:rsidRPr="0024709B">
              <w:rPr>
                <w:b/>
                <w:sz w:val="18"/>
              </w:rPr>
              <w:t>/</w:t>
            </w:r>
            <w:r>
              <w:rPr>
                <w:b/>
                <w:sz w:val="18"/>
              </w:rPr>
              <w:t>6/2012</w:t>
            </w:r>
          </w:p>
          <w:p w:rsidR="008F03F9" w:rsidRPr="0024709B" w:rsidRDefault="008F03F9" w:rsidP="008F03F9">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8F03F9" w:rsidRPr="00A366C5" w:rsidRDefault="008F03F9" w:rsidP="008F03F9">
            <w:pPr>
              <w:pStyle w:val="BodyText"/>
              <w:tabs>
                <w:tab w:val="left" w:pos="360"/>
                <w:tab w:val="left" w:pos="540"/>
                <w:tab w:val="left" w:pos="630"/>
                <w:tab w:val="left" w:pos="1080"/>
              </w:tabs>
              <w:ind w:right="-108" w:hanging="108"/>
              <w:jc w:val="center"/>
              <w:rPr>
                <w:b/>
                <w:sz w:val="18"/>
              </w:rPr>
            </w:pPr>
            <w:r w:rsidRPr="00A366C5">
              <w:rPr>
                <w:b/>
                <w:sz w:val="18"/>
              </w:rPr>
              <w:t>PRECEDING YEAR</w:t>
            </w:r>
          </w:p>
          <w:p w:rsidR="008F03F9" w:rsidRPr="00A366C5" w:rsidRDefault="008F03F9" w:rsidP="008F03F9">
            <w:pPr>
              <w:pStyle w:val="BodyText"/>
              <w:tabs>
                <w:tab w:val="left" w:pos="360"/>
                <w:tab w:val="left" w:pos="540"/>
                <w:tab w:val="left" w:pos="630"/>
                <w:tab w:val="left" w:pos="1080"/>
              </w:tabs>
              <w:ind w:right="-108" w:hanging="108"/>
              <w:jc w:val="center"/>
              <w:rPr>
                <w:b/>
                <w:sz w:val="18"/>
              </w:rPr>
            </w:pPr>
            <w:r w:rsidRPr="00A366C5">
              <w:rPr>
                <w:b/>
                <w:sz w:val="18"/>
              </w:rPr>
              <w:t>CORRESPONDING</w:t>
            </w:r>
          </w:p>
          <w:p w:rsidR="008F03F9" w:rsidRPr="00A366C5" w:rsidRDefault="008F03F9" w:rsidP="008F03F9">
            <w:pPr>
              <w:pStyle w:val="BodyText"/>
              <w:tabs>
                <w:tab w:val="left" w:pos="360"/>
                <w:tab w:val="left" w:pos="540"/>
                <w:tab w:val="left" w:pos="630"/>
                <w:tab w:val="left" w:pos="1080"/>
              </w:tabs>
              <w:ind w:right="-108" w:hanging="108"/>
              <w:jc w:val="center"/>
              <w:rPr>
                <w:b/>
                <w:sz w:val="18"/>
              </w:rPr>
            </w:pPr>
            <w:r w:rsidRPr="00A366C5">
              <w:rPr>
                <w:b/>
                <w:sz w:val="18"/>
              </w:rPr>
              <w:t>PERIOD</w:t>
            </w:r>
          </w:p>
          <w:p w:rsidR="008F03F9" w:rsidRPr="00A366C5" w:rsidRDefault="008F03F9" w:rsidP="008F03F9">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0</w:t>
            </w:r>
            <w:r w:rsidRPr="00A366C5">
              <w:rPr>
                <w:b/>
                <w:sz w:val="18"/>
              </w:rPr>
              <w:t>/</w:t>
            </w:r>
            <w:r>
              <w:rPr>
                <w:b/>
                <w:sz w:val="18"/>
              </w:rPr>
              <w:t>6/2011</w:t>
            </w:r>
          </w:p>
          <w:p w:rsidR="008F03F9" w:rsidRPr="00A366C5" w:rsidRDefault="008F03F9" w:rsidP="008F03F9">
            <w:pPr>
              <w:pStyle w:val="BodyText"/>
              <w:tabs>
                <w:tab w:val="left" w:pos="360"/>
                <w:tab w:val="left" w:pos="540"/>
                <w:tab w:val="left" w:pos="702"/>
                <w:tab w:val="left" w:pos="1080"/>
              </w:tabs>
              <w:ind w:right="-108" w:hanging="108"/>
              <w:jc w:val="center"/>
              <w:rPr>
                <w:b/>
                <w:sz w:val="18"/>
              </w:rPr>
            </w:pPr>
            <w:r w:rsidRPr="00A366C5">
              <w:rPr>
                <w:b/>
                <w:sz w:val="18"/>
              </w:rPr>
              <w:t>RM’000</w:t>
            </w:r>
          </w:p>
        </w:tc>
      </w:tr>
      <w:tr w:rsidR="008F03F9" w:rsidRPr="00222E05" w:rsidTr="00063A1C">
        <w:tc>
          <w:tcPr>
            <w:tcW w:w="450" w:type="dxa"/>
          </w:tcPr>
          <w:p w:rsidR="008F03F9" w:rsidRDefault="00063A1C" w:rsidP="008F03F9">
            <w:pPr>
              <w:pStyle w:val="BodyText"/>
              <w:ind w:left="-108" w:right="-450" w:hanging="28"/>
              <w:jc w:val="center"/>
              <w:rPr>
                <w:sz w:val="20"/>
              </w:rPr>
            </w:pPr>
            <w:proofErr w:type="spellStart"/>
            <w:r>
              <w:rPr>
                <w:sz w:val="20"/>
              </w:rPr>
              <w:t>i</w:t>
            </w:r>
            <w:proofErr w:type="spellEnd"/>
            <w:r>
              <w:rPr>
                <w:sz w:val="20"/>
              </w:rPr>
              <w:t>)</w:t>
            </w:r>
          </w:p>
        </w:tc>
        <w:tc>
          <w:tcPr>
            <w:tcW w:w="2430" w:type="dxa"/>
            <w:tcBorders>
              <w:left w:val="nil"/>
              <w:right w:val="single" w:sz="4" w:space="0" w:color="auto"/>
            </w:tcBorders>
            <w:shd w:val="clear" w:color="auto" w:fill="auto"/>
          </w:tcPr>
          <w:p w:rsidR="008F03F9" w:rsidRPr="00A366C5" w:rsidRDefault="008F03F9" w:rsidP="008F03F9">
            <w:pPr>
              <w:pStyle w:val="BodyText"/>
              <w:ind w:hanging="18"/>
              <w:jc w:val="left"/>
              <w:rPr>
                <w:sz w:val="20"/>
              </w:rPr>
            </w:pPr>
            <w:r>
              <w:rPr>
                <w:sz w:val="20"/>
              </w:rPr>
              <w:t>Provision for floods losses in Fiji – net of insurance claim</w:t>
            </w:r>
          </w:p>
        </w:tc>
        <w:tc>
          <w:tcPr>
            <w:tcW w:w="1170" w:type="dxa"/>
            <w:tcBorders>
              <w:left w:val="single" w:sz="4" w:space="0" w:color="auto"/>
              <w:right w:val="single" w:sz="4" w:space="0" w:color="auto"/>
            </w:tcBorders>
            <w:shd w:val="clear" w:color="auto" w:fill="auto"/>
          </w:tcPr>
          <w:p w:rsidR="008F03F9" w:rsidRPr="0024709B" w:rsidRDefault="008F03F9" w:rsidP="008F03F9">
            <w:pPr>
              <w:pStyle w:val="BodyText"/>
              <w:ind w:left="-18" w:right="-18"/>
              <w:jc w:val="center"/>
              <w:rPr>
                <w:sz w:val="20"/>
              </w:rPr>
            </w:pPr>
          </w:p>
          <w:p w:rsidR="00B44831" w:rsidRDefault="00B44831" w:rsidP="008F03F9">
            <w:pPr>
              <w:pStyle w:val="BodyText"/>
              <w:ind w:left="-18" w:right="-18"/>
              <w:jc w:val="center"/>
              <w:rPr>
                <w:sz w:val="20"/>
              </w:rPr>
            </w:pPr>
          </w:p>
          <w:p w:rsidR="008F03F9" w:rsidRPr="0024709B" w:rsidRDefault="00E56BF1" w:rsidP="008F03F9">
            <w:pPr>
              <w:pStyle w:val="BodyText"/>
              <w:ind w:left="-18" w:right="-18"/>
              <w:jc w:val="center"/>
              <w:rPr>
                <w:sz w:val="20"/>
              </w:rPr>
            </w:pPr>
            <w:r>
              <w:rPr>
                <w:sz w:val="20"/>
              </w:rPr>
              <w:t>(1,645)</w:t>
            </w:r>
          </w:p>
        </w:tc>
        <w:tc>
          <w:tcPr>
            <w:tcW w:w="1890" w:type="dxa"/>
            <w:tcBorders>
              <w:left w:val="single" w:sz="4" w:space="0" w:color="auto"/>
              <w:right w:val="single" w:sz="4" w:space="0" w:color="auto"/>
            </w:tcBorders>
            <w:shd w:val="clear" w:color="auto" w:fill="auto"/>
          </w:tcPr>
          <w:p w:rsidR="008F03F9" w:rsidRPr="0024709B" w:rsidRDefault="008F03F9" w:rsidP="008F03F9">
            <w:pPr>
              <w:pStyle w:val="BodyText"/>
              <w:ind w:left="-18" w:right="-18"/>
              <w:jc w:val="center"/>
              <w:rPr>
                <w:sz w:val="20"/>
              </w:rPr>
            </w:pPr>
          </w:p>
          <w:p w:rsidR="00B44831" w:rsidRDefault="008F03F9" w:rsidP="008F03F9">
            <w:pPr>
              <w:pStyle w:val="BodyText"/>
              <w:ind w:left="-18" w:right="-18"/>
              <w:jc w:val="center"/>
              <w:rPr>
                <w:sz w:val="20"/>
              </w:rPr>
            </w:pPr>
            <w:r w:rsidRPr="0024709B">
              <w:rPr>
                <w:sz w:val="20"/>
              </w:rPr>
              <w:t xml:space="preserve">     </w:t>
            </w:r>
          </w:p>
          <w:p w:rsidR="008F03F9" w:rsidRPr="0024709B" w:rsidRDefault="00B44831" w:rsidP="008F03F9">
            <w:pPr>
              <w:pStyle w:val="BodyText"/>
              <w:ind w:left="-18" w:right="-18"/>
              <w:jc w:val="center"/>
              <w:rPr>
                <w:sz w:val="20"/>
              </w:rPr>
            </w:pPr>
            <w:r>
              <w:rPr>
                <w:sz w:val="20"/>
              </w:rPr>
              <w:t xml:space="preserve">     </w:t>
            </w:r>
            <w:r w:rsidR="008F03F9" w:rsidRPr="0024709B">
              <w:rPr>
                <w:sz w:val="20"/>
              </w:rPr>
              <w:t>-</w:t>
            </w:r>
          </w:p>
        </w:tc>
        <w:tc>
          <w:tcPr>
            <w:tcW w:w="1170" w:type="dxa"/>
            <w:tcBorders>
              <w:left w:val="single" w:sz="4" w:space="0" w:color="auto"/>
              <w:right w:val="single" w:sz="4" w:space="0" w:color="auto"/>
            </w:tcBorders>
            <w:shd w:val="clear" w:color="auto" w:fill="auto"/>
          </w:tcPr>
          <w:p w:rsidR="008F03F9" w:rsidRPr="0024709B" w:rsidRDefault="008F03F9" w:rsidP="008F03F9">
            <w:pPr>
              <w:pStyle w:val="BodyText"/>
              <w:ind w:left="-18" w:right="-18"/>
              <w:jc w:val="center"/>
              <w:rPr>
                <w:sz w:val="20"/>
              </w:rPr>
            </w:pPr>
          </w:p>
          <w:p w:rsidR="00B44831" w:rsidRDefault="00B44831" w:rsidP="008F03F9">
            <w:pPr>
              <w:pStyle w:val="BodyText"/>
              <w:ind w:left="-18" w:right="-18"/>
              <w:jc w:val="center"/>
              <w:rPr>
                <w:sz w:val="20"/>
              </w:rPr>
            </w:pPr>
          </w:p>
          <w:p w:rsidR="008F03F9" w:rsidRPr="0024709B" w:rsidRDefault="008F03F9" w:rsidP="00E56BF1">
            <w:pPr>
              <w:pStyle w:val="BodyText"/>
              <w:ind w:left="-18" w:right="-18"/>
              <w:jc w:val="center"/>
              <w:rPr>
                <w:sz w:val="20"/>
              </w:rPr>
            </w:pPr>
            <w:r>
              <w:rPr>
                <w:sz w:val="20"/>
              </w:rPr>
              <w:t>(</w:t>
            </w:r>
            <w:r w:rsidR="00E56BF1">
              <w:rPr>
                <w:sz w:val="20"/>
              </w:rPr>
              <w:t>5</w:t>
            </w:r>
            <w:r>
              <w:rPr>
                <w:sz w:val="20"/>
              </w:rPr>
              <w:t>,</w:t>
            </w:r>
            <w:r w:rsidR="00E56BF1">
              <w:rPr>
                <w:sz w:val="20"/>
              </w:rPr>
              <w:t>606</w:t>
            </w:r>
            <w:r>
              <w:rPr>
                <w:sz w:val="20"/>
              </w:rPr>
              <w:t>)</w:t>
            </w:r>
          </w:p>
        </w:tc>
        <w:tc>
          <w:tcPr>
            <w:tcW w:w="1890" w:type="dxa"/>
            <w:tcBorders>
              <w:left w:val="single" w:sz="4" w:space="0" w:color="auto"/>
              <w:right w:val="single" w:sz="4" w:space="0" w:color="auto"/>
            </w:tcBorders>
            <w:shd w:val="clear" w:color="auto" w:fill="auto"/>
          </w:tcPr>
          <w:p w:rsidR="008F03F9" w:rsidRDefault="008F03F9" w:rsidP="00240C0A">
            <w:pPr>
              <w:pStyle w:val="BodyText"/>
              <w:ind w:right="-108" w:hanging="108"/>
              <w:jc w:val="center"/>
              <w:rPr>
                <w:sz w:val="20"/>
              </w:rPr>
            </w:pPr>
          </w:p>
          <w:p w:rsidR="00B44831" w:rsidRDefault="00B44831" w:rsidP="00240C0A">
            <w:pPr>
              <w:pStyle w:val="BodyText"/>
              <w:ind w:right="-108" w:hanging="108"/>
              <w:jc w:val="center"/>
              <w:rPr>
                <w:sz w:val="20"/>
              </w:rPr>
            </w:pPr>
          </w:p>
          <w:p w:rsidR="008F03F9" w:rsidRDefault="008F03F9" w:rsidP="00240C0A">
            <w:pPr>
              <w:pStyle w:val="BodyText"/>
              <w:ind w:right="-108" w:hanging="108"/>
              <w:jc w:val="center"/>
              <w:rPr>
                <w:sz w:val="20"/>
              </w:rPr>
            </w:pPr>
            <w:r>
              <w:rPr>
                <w:sz w:val="20"/>
              </w:rPr>
              <w:t>-</w:t>
            </w:r>
          </w:p>
        </w:tc>
      </w:tr>
      <w:tr w:rsidR="00E56BF1" w:rsidRPr="00222E05" w:rsidTr="00063A1C">
        <w:tc>
          <w:tcPr>
            <w:tcW w:w="450" w:type="dxa"/>
          </w:tcPr>
          <w:p w:rsidR="00E56BF1" w:rsidRDefault="00E56BF1" w:rsidP="00063A1C">
            <w:pPr>
              <w:pStyle w:val="BodyText"/>
              <w:ind w:left="-108" w:right="-450" w:hanging="28"/>
              <w:rPr>
                <w:sz w:val="20"/>
              </w:rPr>
            </w:pPr>
            <w:r>
              <w:rPr>
                <w:sz w:val="20"/>
              </w:rPr>
              <w:t xml:space="preserve">     ii)</w:t>
            </w:r>
          </w:p>
        </w:tc>
        <w:tc>
          <w:tcPr>
            <w:tcW w:w="2430" w:type="dxa"/>
            <w:tcBorders>
              <w:left w:val="nil"/>
              <w:right w:val="single" w:sz="4" w:space="0" w:color="auto"/>
            </w:tcBorders>
            <w:shd w:val="clear" w:color="auto" w:fill="auto"/>
          </w:tcPr>
          <w:p w:rsidR="00E56BF1" w:rsidRDefault="00E56BF1" w:rsidP="00B44831">
            <w:pPr>
              <w:pStyle w:val="BodyText"/>
              <w:ind w:hanging="18"/>
              <w:jc w:val="left"/>
              <w:rPr>
                <w:sz w:val="20"/>
              </w:rPr>
            </w:pPr>
            <w:r>
              <w:rPr>
                <w:sz w:val="20"/>
              </w:rPr>
              <w:t>Loss on deconsolidation of subsidiaries</w:t>
            </w:r>
          </w:p>
        </w:tc>
        <w:tc>
          <w:tcPr>
            <w:tcW w:w="1170" w:type="dxa"/>
            <w:tcBorders>
              <w:left w:val="single" w:sz="4" w:space="0" w:color="auto"/>
              <w:right w:val="single" w:sz="4" w:space="0" w:color="auto"/>
            </w:tcBorders>
            <w:shd w:val="clear" w:color="auto" w:fill="auto"/>
          </w:tcPr>
          <w:p w:rsidR="00E56BF1" w:rsidRDefault="00E56BF1" w:rsidP="008F03F9">
            <w:pPr>
              <w:pStyle w:val="BodyText"/>
              <w:ind w:left="-18" w:right="-18"/>
              <w:jc w:val="center"/>
              <w:rPr>
                <w:sz w:val="20"/>
              </w:rPr>
            </w:pPr>
          </w:p>
          <w:p w:rsidR="00E56BF1" w:rsidRPr="0024709B" w:rsidRDefault="00E56BF1" w:rsidP="008F03F9">
            <w:pPr>
              <w:pStyle w:val="BodyText"/>
              <w:ind w:left="-18" w:right="-18"/>
              <w:jc w:val="center"/>
              <w:rPr>
                <w:sz w:val="20"/>
              </w:rPr>
            </w:pPr>
            <w:r>
              <w:rPr>
                <w:sz w:val="20"/>
              </w:rPr>
              <w:t xml:space="preserve">    (77)</w:t>
            </w:r>
          </w:p>
        </w:tc>
        <w:tc>
          <w:tcPr>
            <w:tcW w:w="1890" w:type="dxa"/>
            <w:tcBorders>
              <w:left w:val="single" w:sz="4" w:space="0" w:color="auto"/>
              <w:right w:val="single" w:sz="4" w:space="0" w:color="auto"/>
            </w:tcBorders>
            <w:shd w:val="clear" w:color="auto" w:fill="auto"/>
          </w:tcPr>
          <w:p w:rsidR="00E56BF1" w:rsidRDefault="00E56BF1" w:rsidP="008F03F9">
            <w:pPr>
              <w:pStyle w:val="BodyText"/>
              <w:ind w:left="-18" w:right="-18"/>
              <w:jc w:val="center"/>
              <w:rPr>
                <w:sz w:val="20"/>
              </w:rPr>
            </w:pPr>
          </w:p>
          <w:p w:rsidR="00240C0A" w:rsidRPr="0024709B" w:rsidRDefault="00240C0A" w:rsidP="008F03F9">
            <w:pPr>
              <w:pStyle w:val="BodyText"/>
              <w:ind w:left="-18" w:right="-18"/>
              <w:jc w:val="center"/>
              <w:rPr>
                <w:sz w:val="20"/>
              </w:rPr>
            </w:pPr>
            <w:r>
              <w:rPr>
                <w:sz w:val="20"/>
              </w:rPr>
              <w:t xml:space="preserve">     -</w:t>
            </w:r>
          </w:p>
        </w:tc>
        <w:tc>
          <w:tcPr>
            <w:tcW w:w="1170" w:type="dxa"/>
            <w:tcBorders>
              <w:left w:val="single" w:sz="4" w:space="0" w:color="auto"/>
              <w:right w:val="single" w:sz="4" w:space="0" w:color="auto"/>
            </w:tcBorders>
            <w:shd w:val="clear" w:color="auto" w:fill="auto"/>
          </w:tcPr>
          <w:p w:rsidR="00E56BF1" w:rsidRDefault="00E56BF1" w:rsidP="00BC69C7">
            <w:pPr>
              <w:pStyle w:val="BodyText"/>
              <w:ind w:left="-18" w:right="-18"/>
              <w:jc w:val="center"/>
              <w:rPr>
                <w:sz w:val="20"/>
              </w:rPr>
            </w:pPr>
          </w:p>
          <w:p w:rsidR="00E56BF1" w:rsidRPr="0024709B" w:rsidRDefault="00E56BF1" w:rsidP="00BC69C7">
            <w:pPr>
              <w:pStyle w:val="BodyText"/>
              <w:ind w:left="-18" w:right="-18"/>
              <w:jc w:val="center"/>
              <w:rPr>
                <w:sz w:val="20"/>
              </w:rPr>
            </w:pPr>
            <w:r>
              <w:rPr>
                <w:sz w:val="20"/>
              </w:rPr>
              <w:t xml:space="preserve">    (77)</w:t>
            </w:r>
          </w:p>
        </w:tc>
        <w:tc>
          <w:tcPr>
            <w:tcW w:w="1890" w:type="dxa"/>
            <w:tcBorders>
              <w:left w:val="single" w:sz="4" w:space="0" w:color="auto"/>
              <w:right w:val="single" w:sz="4" w:space="0" w:color="auto"/>
            </w:tcBorders>
            <w:shd w:val="clear" w:color="auto" w:fill="auto"/>
          </w:tcPr>
          <w:p w:rsidR="00E56BF1" w:rsidRDefault="00E56BF1" w:rsidP="00240C0A">
            <w:pPr>
              <w:pStyle w:val="BodyText"/>
              <w:ind w:right="-108" w:hanging="108"/>
              <w:jc w:val="center"/>
              <w:rPr>
                <w:sz w:val="20"/>
              </w:rPr>
            </w:pPr>
          </w:p>
          <w:p w:rsidR="00240C0A" w:rsidRDefault="00240C0A" w:rsidP="00240C0A">
            <w:pPr>
              <w:pStyle w:val="BodyText"/>
              <w:ind w:right="-108" w:hanging="108"/>
              <w:jc w:val="center"/>
              <w:rPr>
                <w:sz w:val="20"/>
              </w:rPr>
            </w:pPr>
            <w:r>
              <w:rPr>
                <w:sz w:val="20"/>
              </w:rPr>
              <w:t>-</w:t>
            </w:r>
          </w:p>
        </w:tc>
      </w:tr>
      <w:tr w:rsidR="008F03F9" w:rsidRPr="00222E05" w:rsidTr="00063A1C">
        <w:tc>
          <w:tcPr>
            <w:tcW w:w="450" w:type="dxa"/>
          </w:tcPr>
          <w:p w:rsidR="008F03F9" w:rsidRPr="00A366C5" w:rsidRDefault="008F03F9" w:rsidP="008F03F9">
            <w:pPr>
              <w:pStyle w:val="BodyText"/>
              <w:ind w:right="-450" w:hanging="1800"/>
              <w:rPr>
                <w:sz w:val="20"/>
              </w:rPr>
            </w:pPr>
          </w:p>
        </w:tc>
        <w:tc>
          <w:tcPr>
            <w:tcW w:w="2430" w:type="dxa"/>
            <w:tcBorders>
              <w:left w:val="nil"/>
              <w:right w:val="single" w:sz="4" w:space="0" w:color="auto"/>
            </w:tcBorders>
            <w:shd w:val="clear" w:color="auto" w:fill="auto"/>
          </w:tcPr>
          <w:p w:rsidR="008F03F9" w:rsidRPr="0024709B" w:rsidRDefault="008F03F9" w:rsidP="008F03F9">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F03F9" w:rsidRPr="0024709B" w:rsidRDefault="00E56BF1" w:rsidP="008F03F9">
            <w:pPr>
              <w:pStyle w:val="BodyText"/>
              <w:ind w:left="-18" w:right="-18"/>
              <w:jc w:val="center"/>
              <w:rPr>
                <w:sz w:val="20"/>
              </w:rPr>
            </w:pPr>
            <w:r>
              <w:rPr>
                <w:sz w:val="20"/>
              </w:rPr>
              <w:t>(1,722)</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F03F9" w:rsidRPr="0024709B" w:rsidRDefault="008F03F9" w:rsidP="008F03F9">
            <w:pPr>
              <w:pStyle w:val="BodyText"/>
              <w:ind w:left="-18" w:right="-18"/>
              <w:jc w:val="center"/>
              <w:rPr>
                <w:sz w:val="20"/>
              </w:rPr>
            </w:pPr>
            <w:r w:rsidRPr="0024709B">
              <w:rPr>
                <w:sz w:val="20"/>
              </w:rPr>
              <w:t xml:space="preserve">     </w:t>
            </w:r>
            <w:r>
              <w:rPr>
                <w:sz w:val="20"/>
              </w:rPr>
              <w:t>-</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F03F9" w:rsidRPr="0024709B" w:rsidRDefault="008F03F9" w:rsidP="00E56BF1">
            <w:pPr>
              <w:pStyle w:val="BodyText"/>
              <w:ind w:left="-18" w:right="-18"/>
              <w:jc w:val="center"/>
              <w:rPr>
                <w:sz w:val="20"/>
              </w:rPr>
            </w:pPr>
            <w:r>
              <w:rPr>
                <w:sz w:val="20"/>
              </w:rPr>
              <w:t>(</w:t>
            </w:r>
            <w:r w:rsidR="00E56BF1">
              <w:rPr>
                <w:sz w:val="20"/>
              </w:rPr>
              <w:t>5</w:t>
            </w:r>
            <w:r>
              <w:rPr>
                <w:sz w:val="20"/>
              </w:rPr>
              <w:t>,</w:t>
            </w:r>
            <w:r w:rsidR="00E56BF1">
              <w:rPr>
                <w:sz w:val="20"/>
              </w:rPr>
              <w:t>683</w:t>
            </w:r>
            <w:r>
              <w:rPr>
                <w:sz w:val="20"/>
              </w:rPr>
              <w:t>)</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F03F9" w:rsidRPr="006B1AED" w:rsidRDefault="008F03F9" w:rsidP="00240C0A">
            <w:pPr>
              <w:pStyle w:val="BodyText"/>
              <w:ind w:left="-18" w:right="-18"/>
              <w:jc w:val="center"/>
              <w:rPr>
                <w:sz w:val="20"/>
              </w:rPr>
            </w:pPr>
            <w:r>
              <w:rPr>
                <w:sz w:val="20"/>
              </w:rPr>
              <w:t>-</w:t>
            </w:r>
          </w:p>
        </w:tc>
      </w:tr>
    </w:tbl>
    <w:p w:rsidR="008F03F9" w:rsidRDefault="008F03F9" w:rsidP="00491580">
      <w:pPr>
        <w:pStyle w:val="BodyText"/>
        <w:ind w:right="-450" w:hanging="1440"/>
        <w:rPr>
          <w:b/>
          <w:sz w:val="20"/>
        </w:rPr>
      </w:pPr>
    </w:p>
    <w:p w:rsidR="00424864" w:rsidRDefault="00424864" w:rsidP="00491580">
      <w:pPr>
        <w:pStyle w:val="BodyText"/>
        <w:ind w:right="-450" w:hanging="1440"/>
        <w:rPr>
          <w:b/>
          <w:sz w:val="20"/>
        </w:rPr>
      </w:pPr>
    </w:p>
    <w:p w:rsidR="00B92A1E" w:rsidRDefault="00B92A1E" w:rsidP="00491580">
      <w:pPr>
        <w:pStyle w:val="BodyText"/>
        <w:ind w:right="-450" w:hanging="1440"/>
        <w:rPr>
          <w:b/>
          <w:sz w:val="20"/>
        </w:rPr>
      </w:pPr>
    </w:p>
    <w:p w:rsidR="002535FC" w:rsidRDefault="002535FC" w:rsidP="00491580">
      <w:pPr>
        <w:pStyle w:val="BodyText"/>
        <w:ind w:right="-450" w:hanging="1440"/>
        <w:rPr>
          <w:b/>
          <w:sz w:val="20"/>
        </w:rPr>
      </w:pPr>
    </w:p>
    <w:p w:rsidR="002535FC" w:rsidRDefault="002535FC" w:rsidP="00491580">
      <w:pPr>
        <w:pStyle w:val="BodyText"/>
        <w:ind w:right="-450" w:hanging="1440"/>
        <w:rPr>
          <w:b/>
          <w:sz w:val="20"/>
        </w:rPr>
      </w:pPr>
    </w:p>
    <w:p w:rsidR="002535FC" w:rsidRDefault="002535FC" w:rsidP="00491580">
      <w:pPr>
        <w:pStyle w:val="BodyText"/>
        <w:ind w:right="-450" w:hanging="1440"/>
        <w:rPr>
          <w:b/>
          <w:sz w:val="20"/>
        </w:rPr>
      </w:pPr>
    </w:p>
    <w:p w:rsidR="002535FC" w:rsidRDefault="002535FC" w:rsidP="00491580">
      <w:pPr>
        <w:pStyle w:val="BodyText"/>
        <w:ind w:right="-450" w:hanging="1440"/>
        <w:rPr>
          <w:b/>
          <w:sz w:val="20"/>
        </w:rPr>
      </w:pPr>
    </w:p>
    <w:p w:rsidR="00B92A1E" w:rsidRDefault="00B92A1E" w:rsidP="00491580">
      <w:pPr>
        <w:pStyle w:val="BodyText"/>
        <w:ind w:right="-450" w:hanging="1440"/>
        <w:rPr>
          <w:b/>
          <w:sz w:val="20"/>
        </w:rPr>
      </w:pPr>
    </w:p>
    <w:p w:rsidR="008F03F9" w:rsidRDefault="00424864" w:rsidP="00424864">
      <w:pPr>
        <w:pStyle w:val="BodyText"/>
        <w:ind w:left="720" w:right="-450" w:hanging="1800"/>
        <w:rPr>
          <w:sz w:val="20"/>
        </w:rPr>
      </w:pPr>
      <w:r>
        <w:rPr>
          <w:b/>
          <w:sz w:val="20"/>
        </w:rPr>
        <w:tab/>
      </w:r>
      <w:r w:rsidR="008F03F9">
        <w:rPr>
          <w:sz w:val="20"/>
        </w:rPr>
        <w:t>Included in other income are the following non-recurring items:-</w:t>
      </w:r>
    </w:p>
    <w:p w:rsidR="00424864" w:rsidRDefault="00424864" w:rsidP="00424864">
      <w:pPr>
        <w:pStyle w:val="BodyText"/>
        <w:ind w:left="720" w:right="-450" w:hanging="1800"/>
        <w:rPr>
          <w:sz w:val="20"/>
        </w:rPr>
      </w:pPr>
      <w:r>
        <w:rPr>
          <w:sz w:val="20"/>
        </w:rPr>
        <w:tab/>
      </w:r>
    </w:p>
    <w:tbl>
      <w:tblPr>
        <w:tblW w:w="9000" w:type="dxa"/>
        <w:tblInd w:w="828" w:type="dxa"/>
        <w:tblLayout w:type="fixed"/>
        <w:tblLook w:val="0000"/>
      </w:tblPr>
      <w:tblGrid>
        <w:gridCol w:w="450"/>
        <w:gridCol w:w="2430"/>
        <w:gridCol w:w="1170"/>
        <w:gridCol w:w="1890"/>
        <w:gridCol w:w="1170"/>
        <w:gridCol w:w="1890"/>
      </w:tblGrid>
      <w:tr w:rsidR="00424864" w:rsidTr="008F03F9">
        <w:trPr>
          <w:cantSplit/>
        </w:trPr>
        <w:tc>
          <w:tcPr>
            <w:tcW w:w="450" w:type="dxa"/>
          </w:tcPr>
          <w:p w:rsidR="00424864" w:rsidRDefault="00424864" w:rsidP="00424864">
            <w:pPr>
              <w:pStyle w:val="BodyText"/>
              <w:ind w:right="-450" w:hanging="1800"/>
              <w:rPr>
                <w:sz w:val="20"/>
              </w:rPr>
            </w:pPr>
          </w:p>
        </w:tc>
        <w:tc>
          <w:tcPr>
            <w:tcW w:w="2430" w:type="dxa"/>
          </w:tcPr>
          <w:p w:rsidR="00424864" w:rsidRDefault="00424864" w:rsidP="00424864">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424864" w:rsidRDefault="00424864" w:rsidP="00424864">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424864" w:rsidRDefault="00424864" w:rsidP="00424864">
            <w:pPr>
              <w:pStyle w:val="BodyText"/>
              <w:ind w:right="-108" w:hanging="108"/>
              <w:jc w:val="center"/>
              <w:rPr>
                <w:b/>
                <w:sz w:val="18"/>
              </w:rPr>
            </w:pPr>
            <w:r>
              <w:rPr>
                <w:b/>
                <w:sz w:val="18"/>
              </w:rPr>
              <w:t>CUMULATIVE QUARTER</w:t>
            </w:r>
          </w:p>
        </w:tc>
      </w:tr>
      <w:tr w:rsidR="008F03F9" w:rsidRPr="00A366C5" w:rsidTr="008F03F9">
        <w:tc>
          <w:tcPr>
            <w:tcW w:w="450" w:type="dxa"/>
          </w:tcPr>
          <w:p w:rsidR="008F03F9" w:rsidRDefault="008F03F9" w:rsidP="00424864">
            <w:pPr>
              <w:pStyle w:val="BodyText"/>
              <w:ind w:left="-108" w:right="-450" w:hanging="1800"/>
              <w:rPr>
                <w:b/>
                <w:sz w:val="20"/>
              </w:rPr>
            </w:pPr>
          </w:p>
        </w:tc>
        <w:tc>
          <w:tcPr>
            <w:tcW w:w="2430" w:type="dxa"/>
          </w:tcPr>
          <w:p w:rsidR="008F03F9" w:rsidRPr="0024709B" w:rsidRDefault="008F03F9" w:rsidP="00424864">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CURRENT</w:t>
            </w:r>
          </w:p>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YEAR</w:t>
            </w:r>
          </w:p>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QUARTER</w:t>
            </w:r>
          </w:p>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3</w:t>
            </w:r>
            <w:r>
              <w:rPr>
                <w:b/>
                <w:sz w:val="18"/>
              </w:rPr>
              <w:t>0</w:t>
            </w:r>
            <w:r w:rsidRPr="0024709B">
              <w:rPr>
                <w:b/>
                <w:sz w:val="18"/>
              </w:rPr>
              <w:t>/</w:t>
            </w:r>
            <w:r>
              <w:rPr>
                <w:b/>
                <w:sz w:val="18"/>
              </w:rPr>
              <w:t>6</w:t>
            </w:r>
            <w:r w:rsidRPr="0024709B">
              <w:rPr>
                <w:b/>
                <w:sz w:val="18"/>
              </w:rPr>
              <w:t>/201</w:t>
            </w:r>
            <w:r>
              <w:rPr>
                <w:b/>
                <w:sz w:val="18"/>
              </w:rPr>
              <w:t>2</w:t>
            </w:r>
          </w:p>
          <w:p w:rsidR="008F03F9" w:rsidRPr="0024709B" w:rsidRDefault="008F03F9" w:rsidP="008F03F9">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PRECEDING YEAR</w:t>
            </w:r>
          </w:p>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CORRESPONDING</w:t>
            </w:r>
          </w:p>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QUARTER</w:t>
            </w:r>
          </w:p>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3</w:t>
            </w:r>
            <w:r>
              <w:rPr>
                <w:b/>
                <w:sz w:val="18"/>
              </w:rPr>
              <w:t>0</w:t>
            </w:r>
            <w:r w:rsidRPr="0024709B">
              <w:rPr>
                <w:b/>
                <w:sz w:val="18"/>
              </w:rPr>
              <w:t>/</w:t>
            </w:r>
            <w:r>
              <w:rPr>
                <w:b/>
                <w:sz w:val="18"/>
              </w:rPr>
              <w:t>6/2011</w:t>
            </w:r>
          </w:p>
          <w:p w:rsidR="008F03F9" w:rsidRPr="0024709B" w:rsidRDefault="008F03F9" w:rsidP="008F03F9">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8F03F9" w:rsidRPr="0024709B" w:rsidRDefault="008F03F9" w:rsidP="008F03F9">
            <w:pPr>
              <w:pStyle w:val="BodyText"/>
              <w:tabs>
                <w:tab w:val="left" w:pos="360"/>
                <w:tab w:val="left" w:pos="540"/>
                <w:tab w:val="left" w:pos="630"/>
                <w:tab w:val="left" w:pos="1080"/>
              </w:tabs>
              <w:ind w:right="-108" w:hanging="108"/>
              <w:jc w:val="center"/>
              <w:rPr>
                <w:b/>
                <w:sz w:val="18"/>
              </w:rPr>
            </w:pPr>
            <w:r w:rsidRPr="0024709B">
              <w:rPr>
                <w:b/>
                <w:sz w:val="18"/>
              </w:rPr>
              <w:t>CURRENT</w:t>
            </w:r>
          </w:p>
          <w:p w:rsidR="008F03F9" w:rsidRPr="0024709B" w:rsidRDefault="008F03F9" w:rsidP="008F03F9">
            <w:pPr>
              <w:pStyle w:val="BodyText"/>
              <w:tabs>
                <w:tab w:val="left" w:pos="360"/>
                <w:tab w:val="left" w:pos="540"/>
                <w:tab w:val="left" w:pos="630"/>
                <w:tab w:val="left" w:pos="1080"/>
              </w:tabs>
              <w:ind w:right="-108" w:hanging="108"/>
              <w:jc w:val="center"/>
              <w:rPr>
                <w:b/>
                <w:sz w:val="18"/>
              </w:rPr>
            </w:pPr>
            <w:r w:rsidRPr="0024709B">
              <w:rPr>
                <w:b/>
                <w:sz w:val="18"/>
              </w:rPr>
              <w:t>YEAR TO DATE</w:t>
            </w:r>
          </w:p>
          <w:p w:rsidR="008F03F9" w:rsidRPr="0024709B" w:rsidRDefault="008F03F9" w:rsidP="008F03F9">
            <w:pPr>
              <w:pStyle w:val="BodyText"/>
              <w:tabs>
                <w:tab w:val="left" w:pos="360"/>
                <w:tab w:val="left" w:pos="540"/>
                <w:tab w:val="left" w:pos="630"/>
                <w:tab w:val="left" w:pos="1080"/>
              </w:tabs>
              <w:ind w:right="-108" w:hanging="108"/>
              <w:jc w:val="center"/>
              <w:rPr>
                <w:b/>
                <w:sz w:val="18"/>
              </w:rPr>
            </w:pPr>
            <w:r w:rsidRPr="0024709B">
              <w:rPr>
                <w:b/>
                <w:sz w:val="18"/>
              </w:rPr>
              <w:t>3</w:t>
            </w:r>
            <w:r>
              <w:rPr>
                <w:b/>
                <w:sz w:val="18"/>
              </w:rPr>
              <w:t>0</w:t>
            </w:r>
            <w:r w:rsidRPr="0024709B">
              <w:rPr>
                <w:b/>
                <w:sz w:val="18"/>
              </w:rPr>
              <w:t>/</w:t>
            </w:r>
            <w:r>
              <w:rPr>
                <w:b/>
                <w:sz w:val="18"/>
              </w:rPr>
              <w:t>6/2012</w:t>
            </w:r>
          </w:p>
          <w:p w:rsidR="008F03F9" w:rsidRPr="0024709B" w:rsidRDefault="008F03F9" w:rsidP="008F03F9">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8F03F9" w:rsidRPr="00A366C5" w:rsidRDefault="008F03F9" w:rsidP="008F03F9">
            <w:pPr>
              <w:pStyle w:val="BodyText"/>
              <w:tabs>
                <w:tab w:val="left" w:pos="360"/>
                <w:tab w:val="left" w:pos="540"/>
                <w:tab w:val="left" w:pos="630"/>
                <w:tab w:val="left" w:pos="1080"/>
              </w:tabs>
              <w:ind w:right="-108" w:hanging="108"/>
              <w:jc w:val="center"/>
              <w:rPr>
                <w:b/>
                <w:sz w:val="18"/>
              </w:rPr>
            </w:pPr>
            <w:r w:rsidRPr="00A366C5">
              <w:rPr>
                <w:b/>
                <w:sz w:val="18"/>
              </w:rPr>
              <w:t>PRECEDING YEAR</w:t>
            </w:r>
          </w:p>
          <w:p w:rsidR="008F03F9" w:rsidRPr="00A366C5" w:rsidRDefault="008F03F9" w:rsidP="008F03F9">
            <w:pPr>
              <w:pStyle w:val="BodyText"/>
              <w:tabs>
                <w:tab w:val="left" w:pos="360"/>
                <w:tab w:val="left" w:pos="540"/>
                <w:tab w:val="left" w:pos="630"/>
                <w:tab w:val="left" w:pos="1080"/>
              </w:tabs>
              <w:ind w:right="-108" w:hanging="108"/>
              <w:jc w:val="center"/>
              <w:rPr>
                <w:b/>
                <w:sz w:val="18"/>
              </w:rPr>
            </w:pPr>
            <w:r w:rsidRPr="00A366C5">
              <w:rPr>
                <w:b/>
                <w:sz w:val="18"/>
              </w:rPr>
              <w:t>CORRESPONDING</w:t>
            </w:r>
          </w:p>
          <w:p w:rsidR="008F03F9" w:rsidRPr="00A366C5" w:rsidRDefault="008F03F9" w:rsidP="008F03F9">
            <w:pPr>
              <w:pStyle w:val="BodyText"/>
              <w:tabs>
                <w:tab w:val="left" w:pos="360"/>
                <w:tab w:val="left" w:pos="540"/>
                <w:tab w:val="left" w:pos="630"/>
                <w:tab w:val="left" w:pos="1080"/>
              </w:tabs>
              <w:ind w:right="-108" w:hanging="108"/>
              <w:jc w:val="center"/>
              <w:rPr>
                <w:b/>
                <w:sz w:val="18"/>
              </w:rPr>
            </w:pPr>
            <w:r w:rsidRPr="00A366C5">
              <w:rPr>
                <w:b/>
                <w:sz w:val="18"/>
              </w:rPr>
              <w:t>PERIOD</w:t>
            </w:r>
          </w:p>
          <w:p w:rsidR="008F03F9" w:rsidRPr="00A366C5" w:rsidRDefault="008F03F9" w:rsidP="008F03F9">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0</w:t>
            </w:r>
            <w:r w:rsidRPr="00A366C5">
              <w:rPr>
                <w:b/>
                <w:sz w:val="18"/>
              </w:rPr>
              <w:t>/</w:t>
            </w:r>
            <w:r>
              <w:rPr>
                <w:b/>
                <w:sz w:val="18"/>
              </w:rPr>
              <w:t>6/2011</w:t>
            </w:r>
          </w:p>
          <w:p w:rsidR="008F03F9" w:rsidRPr="00A366C5" w:rsidRDefault="008F03F9" w:rsidP="008F03F9">
            <w:pPr>
              <w:pStyle w:val="BodyText"/>
              <w:tabs>
                <w:tab w:val="left" w:pos="360"/>
                <w:tab w:val="left" w:pos="540"/>
                <w:tab w:val="left" w:pos="702"/>
                <w:tab w:val="left" w:pos="1080"/>
              </w:tabs>
              <w:ind w:right="-108" w:hanging="108"/>
              <w:jc w:val="center"/>
              <w:rPr>
                <w:b/>
                <w:sz w:val="18"/>
              </w:rPr>
            </w:pPr>
            <w:r w:rsidRPr="00A366C5">
              <w:rPr>
                <w:b/>
                <w:sz w:val="18"/>
              </w:rPr>
              <w:t>RM’000</w:t>
            </w:r>
          </w:p>
        </w:tc>
      </w:tr>
      <w:tr w:rsidR="00063A1C" w:rsidRPr="00222E05" w:rsidTr="008F03F9">
        <w:tc>
          <w:tcPr>
            <w:tcW w:w="450" w:type="dxa"/>
          </w:tcPr>
          <w:p w:rsidR="00063A1C" w:rsidRDefault="00063A1C" w:rsidP="00424864">
            <w:pPr>
              <w:pStyle w:val="BodyText"/>
              <w:ind w:left="-108" w:right="-450" w:hanging="28"/>
              <w:jc w:val="center"/>
              <w:rPr>
                <w:sz w:val="20"/>
              </w:rPr>
            </w:pPr>
            <w:proofErr w:type="spellStart"/>
            <w:r>
              <w:rPr>
                <w:sz w:val="20"/>
              </w:rPr>
              <w:t>i</w:t>
            </w:r>
            <w:proofErr w:type="spellEnd"/>
            <w:r>
              <w:rPr>
                <w:sz w:val="20"/>
              </w:rPr>
              <w:t>)</w:t>
            </w:r>
          </w:p>
        </w:tc>
        <w:tc>
          <w:tcPr>
            <w:tcW w:w="2430" w:type="dxa"/>
            <w:tcBorders>
              <w:left w:val="nil"/>
              <w:right w:val="single" w:sz="4" w:space="0" w:color="auto"/>
            </w:tcBorders>
            <w:shd w:val="clear" w:color="auto" w:fill="auto"/>
          </w:tcPr>
          <w:p w:rsidR="00063A1C" w:rsidRPr="00A366C5" w:rsidRDefault="00063A1C" w:rsidP="004E2EC9">
            <w:pPr>
              <w:pStyle w:val="BodyText"/>
              <w:ind w:hanging="18"/>
              <w:jc w:val="left"/>
              <w:rPr>
                <w:sz w:val="20"/>
              </w:rPr>
            </w:pPr>
            <w:r>
              <w:rPr>
                <w:sz w:val="20"/>
              </w:rPr>
              <w:t>Net gains from fair value adjustment of Investment Properties</w:t>
            </w:r>
            <w:r w:rsidR="00C7475C">
              <w:rPr>
                <w:sz w:val="20"/>
              </w:rPr>
              <w:t xml:space="preserve"> *</w:t>
            </w:r>
          </w:p>
        </w:tc>
        <w:tc>
          <w:tcPr>
            <w:tcW w:w="1170" w:type="dxa"/>
            <w:tcBorders>
              <w:left w:val="single" w:sz="4" w:space="0" w:color="auto"/>
              <w:right w:val="single" w:sz="4" w:space="0" w:color="auto"/>
            </w:tcBorders>
            <w:shd w:val="clear" w:color="auto" w:fill="auto"/>
          </w:tcPr>
          <w:p w:rsidR="00063A1C" w:rsidRPr="0024709B" w:rsidRDefault="00063A1C" w:rsidP="00520B35">
            <w:pPr>
              <w:pStyle w:val="BodyText"/>
              <w:ind w:left="-18" w:right="-18"/>
              <w:jc w:val="center"/>
              <w:rPr>
                <w:sz w:val="20"/>
              </w:rPr>
            </w:pPr>
          </w:p>
          <w:p w:rsidR="00063A1C" w:rsidRDefault="00063A1C" w:rsidP="007F5BB3">
            <w:pPr>
              <w:pStyle w:val="BodyText"/>
              <w:ind w:left="-18" w:right="-18"/>
              <w:jc w:val="center"/>
              <w:rPr>
                <w:sz w:val="20"/>
              </w:rPr>
            </w:pPr>
          </w:p>
          <w:p w:rsidR="00063A1C" w:rsidRPr="0024709B" w:rsidRDefault="00063A1C" w:rsidP="007F5BB3">
            <w:pPr>
              <w:pStyle w:val="BodyText"/>
              <w:ind w:left="-18" w:right="-18"/>
              <w:jc w:val="center"/>
              <w:rPr>
                <w:sz w:val="20"/>
              </w:rPr>
            </w:pPr>
            <w:r>
              <w:rPr>
                <w:sz w:val="20"/>
              </w:rPr>
              <w:t>-</w:t>
            </w:r>
          </w:p>
        </w:tc>
        <w:tc>
          <w:tcPr>
            <w:tcW w:w="1890" w:type="dxa"/>
            <w:tcBorders>
              <w:left w:val="single" w:sz="4" w:space="0" w:color="auto"/>
              <w:right w:val="single" w:sz="4" w:space="0" w:color="auto"/>
            </w:tcBorders>
            <w:shd w:val="clear" w:color="auto" w:fill="auto"/>
          </w:tcPr>
          <w:p w:rsidR="00063A1C" w:rsidRPr="0024709B" w:rsidRDefault="00063A1C" w:rsidP="00424864">
            <w:pPr>
              <w:pStyle w:val="BodyText"/>
              <w:ind w:left="-18" w:right="-18"/>
              <w:jc w:val="center"/>
              <w:rPr>
                <w:sz w:val="20"/>
              </w:rPr>
            </w:pPr>
          </w:p>
          <w:p w:rsidR="00063A1C" w:rsidRDefault="00063A1C" w:rsidP="008F03F9">
            <w:pPr>
              <w:pStyle w:val="BodyText"/>
              <w:ind w:left="-18" w:right="-18"/>
              <w:jc w:val="center"/>
              <w:rPr>
                <w:sz w:val="20"/>
              </w:rPr>
            </w:pPr>
            <w:r w:rsidRPr="0024709B">
              <w:rPr>
                <w:sz w:val="20"/>
              </w:rPr>
              <w:t xml:space="preserve">     </w:t>
            </w:r>
          </w:p>
          <w:p w:rsidR="00063A1C" w:rsidRPr="0024709B" w:rsidRDefault="00063A1C" w:rsidP="008F03F9">
            <w:pPr>
              <w:pStyle w:val="BodyText"/>
              <w:ind w:left="-18" w:right="-18"/>
              <w:jc w:val="center"/>
              <w:rPr>
                <w:sz w:val="20"/>
              </w:rPr>
            </w:pPr>
            <w:r>
              <w:rPr>
                <w:sz w:val="20"/>
              </w:rPr>
              <w:t xml:space="preserve">    113,528</w:t>
            </w:r>
          </w:p>
        </w:tc>
        <w:tc>
          <w:tcPr>
            <w:tcW w:w="1170" w:type="dxa"/>
            <w:tcBorders>
              <w:left w:val="single" w:sz="4" w:space="0" w:color="auto"/>
              <w:right w:val="single" w:sz="4" w:space="0" w:color="auto"/>
            </w:tcBorders>
            <w:shd w:val="clear" w:color="auto" w:fill="auto"/>
          </w:tcPr>
          <w:p w:rsidR="00063A1C" w:rsidRPr="0024709B" w:rsidRDefault="00063A1C" w:rsidP="00F94132">
            <w:pPr>
              <w:pStyle w:val="BodyText"/>
              <w:ind w:left="-18" w:right="-18"/>
              <w:jc w:val="center"/>
              <w:rPr>
                <w:sz w:val="20"/>
              </w:rPr>
            </w:pPr>
          </w:p>
          <w:p w:rsidR="00063A1C" w:rsidRDefault="00063A1C" w:rsidP="007F5BB3">
            <w:pPr>
              <w:pStyle w:val="BodyText"/>
              <w:ind w:left="-18" w:right="-18"/>
              <w:jc w:val="center"/>
              <w:rPr>
                <w:sz w:val="20"/>
              </w:rPr>
            </w:pPr>
          </w:p>
          <w:p w:rsidR="00063A1C" w:rsidRPr="0024709B" w:rsidRDefault="00063A1C" w:rsidP="007F5BB3">
            <w:pPr>
              <w:pStyle w:val="BodyText"/>
              <w:ind w:left="-18" w:right="-18"/>
              <w:jc w:val="center"/>
              <w:rPr>
                <w:sz w:val="20"/>
              </w:rPr>
            </w:pPr>
            <w:r>
              <w:rPr>
                <w:sz w:val="20"/>
              </w:rPr>
              <w:t>-</w:t>
            </w:r>
          </w:p>
        </w:tc>
        <w:tc>
          <w:tcPr>
            <w:tcW w:w="1890" w:type="dxa"/>
            <w:tcBorders>
              <w:left w:val="single" w:sz="4" w:space="0" w:color="auto"/>
              <w:right w:val="single" w:sz="4" w:space="0" w:color="auto"/>
            </w:tcBorders>
            <w:shd w:val="clear" w:color="auto" w:fill="auto"/>
          </w:tcPr>
          <w:p w:rsidR="00063A1C" w:rsidRPr="0024709B" w:rsidRDefault="00063A1C" w:rsidP="00B44831">
            <w:pPr>
              <w:pStyle w:val="BodyText"/>
              <w:ind w:left="-18" w:right="-18"/>
              <w:jc w:val="center"/>
              <w:rPr>
                <w:sz w:val="20"/>
              </w:rPr>
            </w:pPr>
          </w:p>
          <w:p w:rsidR="00063A1C" w:rsidRDefault="00063A1C" w:rsidP="00B44831">
            <w:pPr>
              <w:pStyle w:val="BodyText"/>
              <w:ind w:left="-18" w:right="-18"/>
              <w:jc w:val="center"/>
              <w:rPr>
                <w:sz w:val="20"/>
              </w:rPr>
            </w:pPr>
            <w:r w:rsidRPr="0024709B">
              <w:rPr>
                <w:sz w:val="20"/>
              </w:rPr>
              <w:t xml:space="preserve">     </w:t>
            </w:r>
          </w:p>
          <w:p w:rsidR="00063A1C" w:rsidRPr="0024709B" w:rsidRDefault="00063A1C" w:rsidP="00B44831">
            <w:pPr>
              <w:pStyle w:val="BodyText"/>
              <w:ind w:left="-18" w:right="-18"/>
              <w:jc w:val="center"/>
              <w:rPr>
                <w:sz w:val="20"/>
              </w:rPr>
            </w:pPr>
            <w:r>
              <w:rPr>
                <w:sz w:val="20"/>
              </w:rPr>
              <w:t xml:space="preserve">     113,528</w:t>
            </w:r>
          </w:p>
        </w:tc>
      </w:tr>
      <w:tr w:rsidR="00063A1C" w:rsidRPr="00222E05" w:rsidTr="008F03F9">
        <w:tc>
          <w:tcPr>
            <w:tcW w:w="450" w:type="dxa"/>
          </w:tcPr>
          <w:p w:rsidR="00063A1C" w:rsidRDefault="00063A1C" w:rsidP="00063A1C">
            <w:pPr>
              <w:pStyle w:val="BodyText"/>
              <w:ind w:left="-108" w:right="-450" w:hanging="28"/>
              <w:jc w:val="left"/>
              <w:rPr>
                <w:sz w:val="20"/>
              </w:rPr>
            </w:pPr>
            <w:r>
              <w:rPr>
                <w:sz w:val="20"/>
              </w:rPr>
              <w:t xml:space="preserve">      ii)</w:t>
            </w:r>
          </w:p>
        </w:tc>
        <w:tc>
          <w:tcPr>
            <w:tcW w:w="2430" w:type="dxa"/>
            <w:tcBorders>
              <w:left w:val="nil"/>
              <w:right w:val="single" w:sz="4" w:space="0" w:color="auto"/>
            </w:tcBorders>
            <w:shd w:val="clear" w:color="auto" w:fill="auto"/>
          </w:tcPr>
          <w:p w:rsidR="00063A1C" w:rsidRDefault="00063A1C" w:rsidP="0005011F">
            <w:pPr>
              <w:pStyle w:val="BodyText"/>
              <w:ind w:hanging="18"/>
              <w:jc w:val="left"/>
              <w:rPr>
                <w:sz w:val="20"/>
              </w:rPr>
            </w:pPr>
            <w:r>
              <w:rPr>
                <w:sz w:val="20"/>
              </w:rPr>
              <w:t xml:space="preserve">Gain on disposal of </w:t>
            </w:r>
            <w:r w:rsidR="0005011F">
              <w:rPr>
                <w:sz w:val="20"/>
              </w:rPr>
              <w:t>property, plant and equipment</w:t>
            </w:r>
          </w:p>
        </w:tc>
        <w:tc>
          <w:tcPr>
            <w:tcW w:w="1170" w:type="dxa"/>
            <w:tcBorders>
              <w:left w:val="single" w:sz="4" w:space="0" w:color="auto"/>
              <w:right w:val="single" w:sz="4" w:space="0" w:color="auto"/>
            </w:tcBorders>
            <w:shd w:val="clear" w:color="auto" w:fill="auto"/>
          </w:tcPr>
          <w:p w:rsidR="00063A1C" w:rsidRDefault="00063A1C" w:rsidP="00520B35">
            <w:pPr>
              <w:pStyle w:val="BodyText"/>
              <w:ind w:left="-18" w:right="-18"/>
              <w:jc w:val="center"/>
              <w:rPr>
                <w:sz w:val="20"/>
              </w:rPr>
            </w:pPr>
          </w:p>
          <w:p w:rsidR="0005011F" w:rsidRDefault="0005011F" w:rsidP="00520B35">
            <w:pPr>
              <w:pStyle w:val="BodyText"/>
              <w:ind w:left="-18" w:right="-18"/>
              <w:jc w:val="center"/>
              <w:rPr>
                <w:sz w:val="20"/>
              </w:rPr>
            </w:pPr>
          </w:p>
          <w:p w:rsidR="00063A1C" w:rsidRPr="0024709B" w:rsidRDefault="00063A1C" w:rsidP="00520B35">
            <w:pPr>
              <w:pStyle w:val="BodyText"/>
              <w:ind w:left="-18" w:right="-18"/>
              <w:jc w:val="center"/>
              <w:rPr>
                <w:sz w:val="20"/>
              </w:rPr>
            </w:pPr>
            <w:r>
              <w:rPr>
                <w:sz w:val="20"/>
              </w:rPr>
              <w:t>5,459</w:t>
            </w:r>
          </w:p>
        </w:tc>
        <w:tc>
          <w:tcPr>
            <w:tcW w:w="1890" w:type="dxa"/>
            <w:tcBorders>
              <w:left w:val="single" w:sz="4" w:space="0" w:color="auto"/>
              <w:right w:val="single" w:sz="4" w:space="0" w:color="auto"/>
            </w:tcBorders>
            <w:shd w:val="clear" w:color="auto" w:fill="auto"/>
          </w:tcPr>
          <w:p w:rsidR="00063A1C" w:rsidRDefault="00063A1C" w:rsidP="00424864">
            <w:pPr>
              <w:pStyle w:val="BodyText"/>
              <w:ind w:left="-18" w:right="-18"/>
              <w:jc w:val="center"/>
              <w:rPr>
                <w:sz w:val="20"/>
              </w:rPr>
            </w:pPr>
          </w:p>
          <w:p w:rsidR="0005011F" w:rsidRDefault="0005011F" w:rsidP="00424864">
            <w:pPr>
              <w:pStyle w:val="BodyText"/>
              <w:ind w:left="-18" w:right="-18"/>
              <w:jc w:val="center"/>
              <w:rPr>
                <w:sz w:val="20"/>
              </w:rPr>
            </w:pPr>
          </w:p>
          <w:p w:rsidR="00063A1C" w:rsidRPr="0024709B" w:rsidRDefault="00063A1C" w:rsidP="00063A1C">
            <w:pPr>
              <w:pStyle w:val="BodyText"/>
              <w:ind w:left="-18" w:right="-18"/>
              <w:jc w:val="center"/>
              <w:rPr>
                <w:sz w:val="20"/>
              </w:rPr>
            </w:pPr>
            <w:r>
              <w:rPr>
                <w:sz w:val="20"/>
              </w:rPr>
              <w:t xml:space="preserve">     -</w:t>
            </w:r>
          </w:p>
        </w:tc>
        <w:tc>
          <w:tcPr>
            <w:tcW w:w="1170" w:type="dxa"/>
            <w:tcBorders>
              <w:left w:val="single" w:sz="4" w:space="0" w:color="auto"/>
              <w:right w:val="single" w:sz="4" w:space="0" w:color="auto"/>
            </w:tcBorders>
            <w:shd w:val="clear" w:color="auto" w:fill="auto"/>
          </w:tcPr>
          <w:p w:rsidR="00063A1C" w:rsidRDefault="00063A1C" w:rsidP="00F94132">
            <w:pPr>
              <w:pStyle w:val="BodyText"/>
              <w:ind w:left="-18" w:right="-18"/>
              <w:jc w:val="center"/>
              <w:rPr>
                <w:sz w:val="20"/>
              </w:rPr>
            </w:pPr>
          </w:p>
          <w:p w:rsidR="0005011F" w:rsidRDefault="0005011F" w:rsidP="00F94132">
            <w:pPr>
              <w:pStyle w:val="BodyText"/>
              <w:ind w:left="-18" w:right="-18"/>
              <w:jc w:val="center"/>
              <w:rPr>
                <w:sz w:val="20"/>
              </w:rPr>
            </w:pPr>
          </w:p>
          <w:p w:rsidR="00063A1C" w:rsidRPr="0024709B" w:rsidRDefault="00063A1C" w:rsidP="00F94132">
            <w:pPr>
              <w:pStyle w:val="BodyText"/>
              <w:ind w:left="-18" w:right="-18"/>
              <w:jc w:val="center"/>
              <w:rPr>
                <w:sz w:val="20"/>
              </w:rPr>
            </w:pPr>
            <w:r>
              <w:rPr>
                <w:sz w:val="20"/>
              </w:rPr>
              <w:t xml:space="preserve"> 5,459</w:t>
            </w:r>
          </w:p>
        </w:tc>
        <w:tc>
          <w:tcPr>
            <w:tcW w:w="1890" w:type="dxa"/>
            <w:tcBorders>
              <w:left w:val="single" w:sz="4" w:space="0" w:color="auto"/>
              <w:right w:val="single" w:sz="4" w:space="0" w:color="auto"/>
            </w:tcBorders>
            <w:shd w:val="clear" w:color="auto" w:fill="auto"/>
          </w:tcPr>
          <w:p w:rsidR="00063A1C" w:rsidRDefault="00063A1C" w:rsidP="00B44831">
            <w:pPr>
              <w:pStyle w:val="BodyText"/>
              <w:ind w:left="-18" w:right="-18"/>
              <w:jc w:val="center"/>
              <w:rPr>
                <w:sz w:val="20"/>
              </w:rPr>
            </w:pPr>
          </w:p>
          <w:p w:rsidR="0005011F" w:rsidRDefault="0005011F" w:rsidP="00B44831">
            <w:pPr>
              <w:pStyle w:val="BodyText"/>
              <w:ind w:left="-18" w:right="-18"/>
              <w:jc w:val="center"/>
              <w:rPr>
                <w:sz w:val="20"/>
              </w:rPr>
            </w:pPr>
          </w:p>
          <w:p w:rsidR="00063A1C" w:rsidRPr="0024709B" w:rsidRDefault="00063A1C" w:rsidP="00B44831">
            <w:pPr>
              <w:pStyle w:val="BodyText"/>
              <w:ind w:left="-18" w:right="-18"/>
              <w:jc w:val="center"/>
              <w:rPr>
                <w:sz w:val="20"/>
              </w:rPr>
            </w:pPr>
            <w:r>
              <w:rPr>
                <w:sz w:val="20"/>
              </w:rPr>
              <w:t xml:space="preserve">     -</w:t>
            </w:r>
          </w:p>
        </w:tc>
      </w:tr>
      <w:tr w:rsidR="00063A1C" w:rsidRPr="00222E05" w:rsidTr="008F03F9">
        <w:tc>
          <w:tcPr>
            <w:tcW w:w="450" w:type="dxa"/>
          </w:tcPr>
          <w:p w:rsidR="00063A1C" w:rsidRPr="00A366C5" w:rsidRDefault="00063A1C" w:rsidP="00424864">
            <w:pPr>
              <w:pStyle w:val="BodyText"/>
              <w:ind w:right="-450" w:hanging="1800"/>
              <w:rPr>
                <w:sz w:val="20"/>
              </w:rPr>
            </w:pPr>
          </w:p>
        </w:tc>
        <w:tc>
          <w:tcPr>
            <w:tcW w:w="2430" w:type="dxa"/>
            <w:tcBorders>
              <w:left w:val="nil"/>
              <w:right w:val="single" w:sz="4" w:space="0" w:color="auto"/>
            </w:tcBorders>
            <w:shd w:val="clear" w:color="auto" w:fill="auto"/>
          </w:tcPr>
          <w:p w:rsidR="00063A1C" w:rsidRPr="0024709B" w:rsidRDefault="00063A1C" w:rsidP="00424864">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063A1C" w:rsidRPr="0024709B" w:rsidRDefault="00063A1C" w:rsidP="007F5BB3">
            <w:pPr>
              <w:pStyle w:val="BodyText"/>
              <w:ind w:left="-18" w:right="-18"/>
              <w:jc w:val="center"/>
              <w:rPr>
                <w:sz w:val="20"/>
              </w:rPr>
            </w:pPr>
            <w:r>
              <w:rPr>
                <w:sz w:val="20"/>
              </w:rPr>
              <w:t>5,459</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063A1C" w:rsidRPr="0024709B" w:rsidRDefault="00063A1C" w:rsidP="00CB662A">
            <w:pPr>
              <w:pStyle w:val="BodyText"/>
              <w:ind w:left="-18" w:right="-18"/>
              <w:jc w:val="center"/>
              <w:rPr>
                <w:sz w:val="20"/>
              </w:rPr>
            </w:pPr>
            <w:r w:rsidRPr="0024709B">
              <w:rPr>
                <w:sz w:val="20"/>
              </w:rPr>
              <w:t xml:space="preserve">     </w:t>
            </w:r>
            <w:r>
              <w:rPr>
                <w:sz w:val="20"/>
              </w:rPr>
              <w:t>113,528</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063A1C" w:rsidRPr="0024709B" w:rsidRDefault="00063A1C" w:rsidP="007F5BB3">
            <w:pPr>
              <w:pStyle w:val="BodyText"/>
              <w:ind w:left="-18" w:right="-18"/>
              <w:jc w:val="center"/>
              <w:rPr>
                <w:sz w:val="20"/>
              </w:rPr>
            </w:pPr>
            <w:r>
              <w:rPr>
                <w:sz w:val="20"/>
              </w:rPr>
              <w:t xml:space="preserve"> 5,459</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063A1C" w:rsidRPr="0024709B" w:rsidRDefault="00063A1C" w:rsidP="00B44831">
            <w:pPr>
              <w:pStyle w:val="BodyText"/>
              <w:ind w:left="-18" w:right="-18"/>
              <w:jc w:val="center"/>
              <w:rPr>
                <w:sz w:val="20"/>
              </w:rPr>
            </w:pPr>
            <w:r w:rsidRPr="0024709B">
              <w:rPr>
                <w:sz w:val="20"/>
              </w:rPr>
              <w:t xml:space="preserve">     </w:t>
            </w:r>
            <w:r>
              <w:rPr>
                <w:sz w:val="20"/>
              </w:rPr>
              <w:t>113,528</w:t>
            </w:r>
          </w:p>
        </w:tc>
      </w:tr>
    </w:tbl>
    <w:p w:rsidR="00424864" w:rsidRDefault="00424864" w:rsidP="00424864">
      <w:pPr>
        <w:pStyle w:val="BodyText"/>
        <w:ind w:left="720" w:right="-450" w:hanging="1800"/>
        <w:rPr>
          <w:sz w:val="20"/>
        </w:rPr>
      </w:pPr>
      <w:r>
        <w:rPr>
          <w:sz w:val="20"/>
        </w:rPr>
        <w:tab/>
      </w:r>
    </w:p>
    <w:p w:rsidR="00C7475C" w:rsidRDefault="00C7475C" w:rsidP="00C7475C">
      <w:pPr>
        <w:pStyle w:val="BodyTextIndent"/>
        <w:ind w:left="1440" w:right="-180" w:hanging="360"/>
        <w:rPr>
          <w:sz w:val="20"/>
        </w:rPr>
      </w:pPr>
      <w:r>
        <w:rPr>
          <w:sz w:val="20"/>
        </w:rPr>
        <w:t>*</w:t>
      </w:r>
      <w:r>
        <w:rPr>
          <w:sz w:val="20"/>
        </w:rPr>
        <w:tab/>
        <w:t xml:space="preserve">Consequent to the completion of Sale and Purchase Agreement by a wholly owned subsidiary, Vintage Developers </w:t>
      </w:r>
      <w:proofErr w:type="spellStart"/>
      <w:r>
        <w:rPr>
          <w:sz w:val="20"/>
        </w:rPr>
        <w:t>Sdn</w:t>
      </w:r>
      <w:proofErr w:type="spellEnd"/>
      <w:r>
        <w:rPr>
          <w:sz w:val="20"/>
        </w:rPr>
        <w:t xml:space="preserve"> Bhd.</w:t>
      </w:r>
    </w:p>
    <w:p w:rsidR="00C7475C" w:rsidRDefault="00C7475C" w:rsidP="00424864">
      <w:pPr>
        <w:pStyle w:val="BodyText"/>
        <w:ind w:left="720" w:right="-450" w:hanging="1800"/>
        <w:rPr>
          <w:sz w:val="20"/>
        </w:rPr>
      </w:pPr>
    </w:p>
    <w:p w:rsidR="00C7475C" w:rsidRDefault="00C7475C" w:rsidP="00424864">
      <w:pPr>
        <w:pStyle w:val="BodyText"/>
        <w:ind w:left="720" w:right="-450" w:hanging="1800"/>
        <w:rPr>
          <w:sz w:val="20"/>
        </w:rPr>
      </w:pPr>
    </w:p>
    <w:p w:rsidR="00B92A1E" w:rsidRDefault="00B92A1E" w:rsidP="00B92A1E">
      <w:pPr>
        <w:pStyle w:val="BodyText"/>
        <w:ind w:left="687" w:right="-450" w:hanging="687"/>
        <w:rPr>
          <w:b/>
          <w:sz w:val="20"/>
        </w:rPr>
      </w:pPr>
      <w:r w:rsidRPr="00764F09">
        <w:rPr>
          <w:b/>
          <w:sz w:val="20"/>
        </w:rPr>
        <w:t>A</w:t>
      </w:r>
      <w:r>
        <w:rPr>
          <w:b/>
          <w:sz w:val="20"/>
        </w:rPr>
        <w:t>6</w:t>
      </w:r>
      <w:r>
        <w:rPr>
          <w:sz w:val="20"/>
        </w:rPr>
        <w:tab/>
      </w:r>
      <w:r w:rsidRPr="001B13B2">
        <w:rPr>
          <w:b/>
          <w:sz w:val="20"/>
        </w:rPr>
        <w:t>Profit before tax</w:t>
      </w:r>
      <w:r>
        <w:rPr>
          <w:b/>
          <w:sz w:val="20"/>
        </w:rPr>
        <w:t xml:space="preserve"> </w:t>
      </w:r>
    </w:p>
    <w:p w:rsidR="00B92A1E" w:rsidRDefault="00B92A1E" w:rsidP="00B92A1E">
      <w:pPr>
        <w:pStyle w:val="BodyText"/>
        <w:ind w:left="687" w:right="-450" w:hanging="687"/>
        <w:rPr>
          <w:sz w:val="20"/>
        </w:rPr>
      </w:pPr>
    </w:p>
    <w:p w:rsidR="00B92A1E" w:rsidRDefault="00B92A1E" w:rsidP="00B92A1E">
      <w:pPr>
        <w:pStyle w:val="BodyText"/>
        <w:ind w:left="687" w:right="-450" w:hanging="687"/>
        <w:rPr>
          <w:sz w:val="20"/>
        </w:rPr>
      </w:pPr>
      <w:r w:rsidRPr="001B13B2">
        <w:rPr>
          <w:sz w:val="20"/>
        </w:rPr>
        <w:tab/>
      </w:r>
      <w:r>
        <w:rPr>
          <w:sz w:val="20"/>
        </w:rPr>
        <w:t>The following have been included in arriving at profit before tax:</w:t>
      </w:r>
    </w:p>
    <w:p w:rsidR="00B92A1E" w:rsidRDefault="00B92A1E" w:rsidP="00B92A1E">
      <w:pPr>
        <w:pStyle w:val="BodyText"/>
        <w:ind w:left="687" w:right="-450" w:hanging="687"/>
        <w:rPr>
          <w:sz w:val="20"/>
        </w:rPr>
      </w:pPr>
    </w:p>
    <w:p w:rsidR="00B92A1E" w:rsidRPr="002535FC" w:rsidRDefault="00B92A1E" w:rsidP="002535FC">
      <w:pPr>
        <w:pStyle w:val="BodyText"/>
        <w:numPr>
          <w:ilvl w:val="0"/>
          <w:numId w:val="26"/>
        </w:numPr>
        <w:ind w:left="687" w:right="-450" w:firstLine="123"/>
        <w:rPr>
          <w:sz w:val="20"/>
        </w:rPr>
      </w:pPr>
      <w:r w:rsidRPr="002535FC">
        <w:rPr>
          <w:b/>
          <w:sz w:val="20"/>
        </w:rPr>
        <w:t>Continuing operations</w:t>
      </w:r>
    </w:p>
    <w:tbl>
      <w:tblPr>
        <w:tblW w:w="9090" w:type="dxa"/>
        <w:tblInd w:w="828" w:type="dxa"/>
        <w:tblLayout w:type="fixed"/>
        <w:tblLook w:val="0000"/>
      </w:tblPr>
      <w:tblGrid>
        <w:gridCol w:w="540"/>
        <w:gridCol w:w="2430"/>
        <w:gridCol w:w="1170"/>
        <w:gridCol w:w="1890"/>
        <w:gridCol w:w="1170"/>
        <w:gridCol w:w="1890"/>
      </w:tblGrid>
      <w:tr w:rsidR="00B92A1E" w:rsidTr="00B92A1E">
        <w:trPr>
          <w:cantSplit/>
        </w:trPr>
        <w:tc>
          <w:tcPr>
            <w:tcW w:w="540" w:type="dxa"/>
          </w:tcPr>
          <w:p w:rsidR="00B92A1E" w:rsidRDefault="00B92A1E" w:rsidP="00B92A1E">
            <w:pPr>
              <w:pStyle w:val="BodyText"/>
              <w:ind w:right="-450" w:hanging="1800"/>
              <w:rPr>
                <w:sz w:val="20"/>
              </w:rPr>
            </w:pPr>
          </w:p>
        </w:tc>
        <w:tc>
          <w:tcPr>
            <w:tcW w:w="2430" w:type="dxa"/>
          </w:tcPr>
          <w:p w:rsidR="00B92A1E" w:rsidRDefault="00B92A1E" w:rsidP="00B92A1E">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B92A1E" w:rsidRDefault="00B92A1E" w:rsidP="00B92A1E">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B92A1E" w:rsidRDefault="00B92A1E" w:rsidP="00B92A1E">
            <w:pPr>
              <w:pStyle w:val="BodyText"/>
              <w:ind w:right="-108" w:hanging="108"/>
              <w:jc w:val="center"/>
              <w:rPr>
                <w:b/>
                <w:sz w:val="18"/>
              </w:rPr>
            </w:pPr>
            <w:r>
              <w:rPr>
                <w:b/>
                <w:sz w:val="18"/>
              </w:rPr>
              <w:t>CUMULATIVE QUARTER</w:t>
            </w:r>
          </w:p>
        </w:tc>
      </w:tr>
      <w:tr w:rsidR="00B92A1E" w:rsidRPr="00A366C5" w:rsidTr="00B92A1E">
        <w:tc>
          <w:tcPr>
            <w:tcW w:w="540" w:type="dxa"/>
          </w:tcPr>
          <w:p w:rsidR="00B92A1E" w:rsidRPr="0024709B" w:rsidRDefault="00B92A1E" w:rsidP="00B92A1E">
            <w:pPr>
              <w:pStyle w:val="BodyText"/>
              <w:ind w:left="-108" w:right="-450" w:hanging="1800"/>
              <w:rPr>
                <w:b/>
                <w:sz w:val="20"/>
              </w:rPr>
            </w:pPr>
          </w:p>
        </w:tc>
        <w:tc>
          <w:tcPr>
            <w:tcW w:w="2430" w:type="dxa"/>
          </w:tcPr>
          <w:p w:rsidR="00B92A1E" w:rsidRPr="0024709B" w:rsidRDefault="00B92A1E" w:rsidP="00B92A1E">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CURRENT</w:t>
            </w:r>
          </w:p>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YEAR</w:t>
            </w:r>
          </w:p>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QUARTER</w:t>
            </w:r>
          </w:p>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3</w:t>
            </w:r>
            <w:r>
              <w:rPr>
                <w:b/>
                <w:sz w:val="18"/>
              </w:rPr>
              <w:t>0</w:t>
            </w:r>
            <w:r w:rsidRPr="0024709B">
              <w:rPr>
                <w:b/>
                <w:sz w:val="18"/>
              </w:rPr>
              <w:t>/</w:t>
            </w:r>
            <w:r>
              <w:rPr>
                <w:b/>
                <w:sz w:val="18"/>
              </w:rPr>
              <w:t>6</w:t>
            </w:r>
            <w:r w:rsidRPr="0024709B">
              <w:rPr>
                <w:b/>
                <w:sz w:val="18"/>
              </w:rPr>
              <w:t>/201</w:t>
            </w:r>
            <w:r>
              <w:rPr>
                <w:b/>
                <w:sz w:val="18"/>
              </w:rPr>
              <w:t>2</w:t>
            </w:r>
          </w:p>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PRECEDING YEAR</w:t>
            </w:r>
          </w:p>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CORRESPONDING</w:t>
            </w:r>
          </w:p>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QUARTER</w:t>
            </w:r>
          </w:p>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3</w:t>
            </w:r>
            <w:r>
              <w:rPr>
                <w:b/>
                <w:sz w:val="18"/>
              </w:rPr>
              <w:t>0</w:t>
            </w:r>
            <w:r w:rsidRPr="0024709B">
              <w:rPr>
                <w:b/>
                <w:sz w:val="18"/>
              </w:rPr>
              <w:t>/</w:t>
            </w:r>
            <w:r>
              <w:rPr>
                <w:b/>
                <w:sz w:val="18"/>
              </w:rPr>
              <w:t>6/2011</w:t>
            </w:r>
          </w:p>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B92A1E" w:rsidRPr="0024709B" w:rsidRDefault="00B92A1E" w:rsidP="00B92A1E">
            <w:pPr>
              <w:pStyle w:val="BodyText"/>
              <w:tabs>
                <w:tab w:val="left" w:pos="360"/>
                <w:tab w:val="left" w:pos="540"/>
                <w:tab w:val="left" w:pos="630"/>
                <w:tab w:val="left" w:pos="1080"/>
              </w:tabs>
              <w:ind w:right="-108" w:hanging="108"/>
              <w:jc w:val="center"/>
              <w:rPr>
                <w:b/>
                <w:sz w:val="18"/>
              </w:rPr>
            </w:pPr>
            <w:r w:rsidRPr="0024709B">
              <w:rPr>
                <w:b/>
                <w:sz w:val="18"/>
              </w:rPr>
              <w:t>CURRENT</w:t>
            </w:r>
          </w:p>
          <w:p w:rsidR="00B92A1E" w:rsidRPr="0024709B" w:rsidRDefault="00B92A1E" w:rsidP="00B92A1E">
            <w:pPr>
              <w:pStyle w:val="BodyText"/>
              <w:tabs>
                <w:tab w:val="left" w:pos="360"/>
                <w:tab w:val="left" w:pos="540"/>
                <w:tab w:val="left" w:pos="630"/>
                <w:tab w:val="left" w:pos="1080"/>
              </w:tabs>
              <w:ind w:right="-108" w:hanging="108"/>
              <w:jc w:val="center"/>
              <w:rPr>
                <w:b/>
                <w:sz w:val="18"/>
              </w:rPr>
            </w:pPr>
            <w:r w:rsidRPr="0024709B">
              <w:rPr>
                <w:b/>
                <w:sz w:val="18"/>
              </w:rPr>
              <w:t>YEAR TO DATE</w:t>
            </w:r>
          </w:p>
          <w:p w:rsidR="00B92A1E" w:rsidRPr="0024709B" w:rsidRDefault="00B92A1E" w:rsidP="00B92A1E">
            <w:pPr>
              <w:pStyle w:val="BodyText"/>
              <w:tabs>
                <w:tab w:val="left" w:pos="360"/>
                <w:tab w:val="left" w:pos="540"/>
                <w:tab w:val="left" w:pos="630"/>
                <w:tab w:val="left" w:pos="1080"/>
              </w:tabs>
              <w:ind w:right="-108" w:hanging="108"/>
              <w:jc w:val="center"/>
              <w:rPr>
                <w:b/>
                <w:sz w:val="18"/>
              </w:rPr>
            </w:pPr>
            <w:r w:rsidRPr="0024709B">
              <w:rPr>
                <w:b/>
                <w:sz w:val="18"/>
              </w:rPr>
              <w:t>3</w:t>
            </w:r>
            <w:r>
              <w:rPr>
                <w:b/>
                <w:sz w:val="18"/>
              </w:rPr>
              <w:t>0</w:t>
            </w:r>
            <w:r w:rsidRPr="0024709B">
              <w:rPr>
                <w:b/>
                <w:sz w:val="18"/>
              </w:rPr>
              <w:t>/</w:t>
            </w:r>
            <w:r>
              <w:rPr>
                <w:b/>
                <w:sz w:val="18"/>
              </w:rPr>
              <w:t>6/2012</w:t>
            </w:r>
          </w:p>
          <w:p w:rsidR="00B92A1E" w:rsidRPr="0024709B" w:rsidRDefault="00B92A1E" w:rsidP="00B92A1E">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B92A1E" w:rsidRPr="00A366C5" w:rsidRDefault="00B92A1E" w:rsidP="00B92A1E">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92A1E" w:rsidRPr="00A366C5" w:rsidRDefault="00B92A1E" w:rsidP="00B92A1E">
            <w:pPr>
              <w:pStyle w:val="BodyText"/>
              <w:tabs>
                <w:tab w:val="left" w:pos="360"/>
                <w:tab w:val="left" w:pos="540"/>
                <w:tab w:val="left" w:pos="630"/>
                <w:tab w:val="left" w:pos="1080"/>
              </w:tabs>
              <w:ind w:right="-108" w:hanging="108"/>
              <w:jc w:val="center"/>
              <w:rPr>
                <w:b/>
                <w:sz w:val="18"/>
              </w:rPr>
            </w:pPr>
            <w:r w:rsidRPr="00A366C5">
              <w:rPr>
                <w:b/>
                <w:sz w:val="18"/>
              </w:rPr>
              <w:t>CORRESPONDING</w:t>
            </w:r>
          </w:p>
          <w:p w:rsidR="00B92A1E" w:rsidRPr="00A366C5" w:rsidRDefault="00B92A1E" w:rsidP="00B92A1E">
            <w:pPr>
              <w:pStyle w:val="BodyText"/>
              <w:tabs>
                <w:tab w:val="left" w:pos="360"/>
                <w:tab w:val="left" w:pos="540"/>
                <w:tab w:val="left" w:pos="630"/>
                <w:tab w:val="left" w:pos="1080"/>
              </w:tabs>
              <w:ind w:right="-108" w:hanging="108"/>
              <w:jc w:val="center"/>
              <w:rPr>
                <w:b/>
                <w:sz w:val="18"/>
              </w:rPr>
            </w:pPr>
            <w:r w:rsidRPr="00A366C5">
              <w:rPr>
                <w:b/>
                <w:sz w:val="18"/>
              </w:rPr>
              <w:t>PERIOD</w:t>
            </w:r>
          </w:p>
          <w:p w:rsidR="00B92A1E" w:rsidRPr="00A366C5" w:rsidRDefault="00B92A1E" w:rsidP="00B92A1E">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0</w:t>
            </w:r>
            <w:r w:rsidRPr="00A366C5">
              <w:rPr>
                <w:b/>
                <w:sz w:val="18"/>
              </w:rPr>
              <w:t>/</w:t>
            </w:r>
            <w:r>
              <w:rPr>
                <w:b/>
                <w:sz w:val="18"/>
              </w:rPr>
              <w:t>6/2011</w:t>
            </w:r>
          </w:p>
          <w:p w:rsidR="00B92A1E" w:rsidRPr="00A366C5" w:rsidRDefault="00B92A1E" w:rsidP="00B92A1E">
            <w:pPr>
              <w:pStyle w:val="BodyText"/>
              <w:tabs>
                <w:tab w:val="left" w:pos="360"/>
                <w:tab w:val="left" w:pos="540"/>
                <w:tab w:val="left" w:pos="702"/>
                <w:tab w:val="left" w:pos="1080"/>
              </w:tabs>
              <w:ind w:right="-108" w:hanging="108"/>
              <w:jc w:val="center"/>
              <w:rPr>
                <w:b/>
                <w:sz w:val="18"/>
              </w:rPr>
            </w:pPr>
            <w:r w:rsidRPr="00A366C5">
              <w:rPr>
                <w:b/>
                <w:sz w:val="18"/>
              </w:rPr>
              <w:t>RM’000</w:t>
            </w:r>
          </w:p>
        </w:tc>
      </w:tr>
      <w:tr w:rsidR="00B92A1E" w:rsidTr="00B92A1E">
        <w:tc>
          <w:tcPr>
            <w:tcW w:w="540" w:type="dxa"/>
            <w:tcBorders>
              <w:left w:val="nil"/>
            </w:tcBorders>
          </w:tcPr>
          <w:p w:rsidR="00B92A1E" w:rsidRDefault="00B92A1E" w:rsidP="00B92A1E">
            <w:pPr>
              <w:pStyle w:val="BodyText"/>
              <w:ind w:hanging="18"/>
              <w:jc w:val="left"/>
              <w:rPr>
                <w:sz w:val="20"/>
              </w:rPr>
            </w:pPr>
          </w:p>
          <w:p w:rsidR="00B92A1E" w:rsidRDefault="00B92A1E" w:rsidP="00B92A1E">
            <w:pPr>
              <w:pStyle w:val="BodyText"/>
              <w:ind w:hanging="18"/>
              <w:jc w:val="left"/>
              <w:rPr>
                <w:sz w:val="20"/>
              </w:rPr>
            </w:pPr>
            <w:r>
              <w:rPr>
                <w:sz w:val="20"/>
              </w:rPr>
              <w:t>(a)</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p>
          <w:p w:rsidR="00B92A1E" w:rsidRPr="00A366C5" w:rsidRDefault="00B92A1E" w:rsidP="00B92A1E">
            <w:pPr>
              <w:pStyle w:val="BodyText"/>
              <w:ind w:hanging="18"/>
              <w:jc w:val="left"/>
              <w:rPr>
                <w:sz w:val="20"/>
              </w:rPr>
            </w:pPr>
            <w:r>
              <w:rPr>
                <w:sz w:val="20"/>
              </w:rPr>
              <w:t>I</w:t>
            </w:r>
            <w:r w:rsidRPr="00A54138">
              <w:rPr>
                <w:sz w:val="20"/>
              </w:rPr>
              <w:t>nterest income</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w:t>
            </w:r>
            <w:r w:rsidRPr="007D6335">
              <w:rPr>
                <w:sz w:val="20"/>
              </w:rPr>
              <w:t>(</w:t>
            </w:r>
            <w:r>
              <w:rPr>
                <w:sz w:val="20"/>
              </w:rPr>
              <w:t>53</w:t>
            </w:r>
            <w:r w:rsidRPr="007D6335">
              <w:rPr>
                <w:sz w:val="20"/>
              </w:rPr>
              <w:t>6)</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w:t>
            </w:r>
            <w:r w:rsidRPr="007D6335">
              <w:rPr>
                <w:sz w:val="20"/>
              </w:rPr>
              <w:t>(</w:t>
            </w:r>
            <w:r>
              <w:rPr>
                <w:sz w:val="20"/>
              </w:rPr>
              <w:t>200</w:t>
            </w:r>
            <w:r w:rsidRPr="007D6335">
              <w:rPr>
                <w:sz w:val="20"/>
              </w:rPr>
              <w:t>)</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w:t>
            </w:r>
            <w:r>
              <w:rPr>
                <w:sz w:val="20"/>
              </w:rPr>
              <w:t>1</w:t>
            </w:r>
            <w:r w:rsidRPr="007D6335">
              <w:rPr>
                <w:sz w:val="20"/>
              </w:rPr>
              <w:t>,</w:t>
            </w:r>
            <w:r>
              <w:rPr>
                <w:sz w:val="20"/>
              </w:rPr>
              <w:t>008</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w:t>
            </w:r>
            <w:r w:rsidRPr="007D6335">
              <w:rPr>
                <w:sz w:val="20"/>
              </w:rPr>
              <w:t>(2</w:t>
            </w:r>
            <w:r>
              <w:rPr>
                <w:sz w:val="20"/>
              </w:rPr>
              <w:t>93</w:t>
            </w:r>
            <w:r w:rsidRPr="007D6335">
              <w:rPr>
                <w:sz w:val="20"/>
              </w:rPr>
              <w:t>)</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(b)</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F</w:t>
            </w:r>
            <w:r w:rsidRPr="00A54138">
              <w:rPr>
                <w:sz w:val="20"/>
              </w:rPr>
              <w:t>oreign exchange gain</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sidRPr="007D6335">
              <w:rPr>
                <w:sz w:val="20"/>
              </w:rPr>
              <w:t>(3,</w:t>
            </w:r>
            <w:r>
              <w:rPr>
                <w:sz w:val="20"/>
              </w:rPr>
              <w:t>556</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sidRPr="007D6335">
              <w:rPr>
                <w:sz w:val="20"/>
              </w:rPr>
              <w:t>(3,8</w:t>
            </w:r>
            <w:r>
              <w:rPr>
                <w:sz w:val="20"/>
              </w:rPr>
              <w:t>78</w:t>
            </w:r>
            <w:r w:rsidRPr="007D6335">
              <w:rPr>
                <w:sz w:val="20"/>
              </w:rPr>
              <w:t>)</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sidRPr="007D6335">
              <w:rPr>
                <w:sz w:val="20"/>
              </w:rPr>
              <w:t>(9,6</w:t>
            </w:r>
            <w:r>
              <w:rPr>
                <w:sz w:val="20"/>
              </w:rPr>
              <w:t>48</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sidRPr="007D6335">
              <w:rPr>
                <w:sz w:val="20"/>
              </w:rPr>
              <w:t>(8,</w:t>
            </w:r>
            <w:r>
              <w:rPr>
                <w:sz w:val="20"/>
              </w:rPr>
              <w:t>853</w:t>
            </w:r>
            <w:r w:rsidRPr="007D6335">
              <w:rPr>
                <w:sz w:val="20"/>
              </w:rPr>
              <w:t>)</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(c)</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Net gain on disposal of property, plant and equipment</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(5,</w:t>
            </w:r>
            <w:r>
              <w:rPr>
                <w:sz w:val="20"/>
              </w:rPr>
              <w:t>444</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 xml:space="preserve">     (</w:t>
            </w:r>
            <w:r>
              <w:rPr>
                <w:sz w:val="20"/>
              </w:rPr>
              <w:t>31</w:t>
            </w:r>
            <w:r w:rsidRPr="007D6335">
              <w:rPr>
                <w:sz w:val="20"/>
              </w:rPr>
              <w:t>)</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(5,</w:t>
            </w:r>
            <w:r>
              <w:rPr>
                <w:sz w:val="20"/>
              </w:rPr>
              <w:t>585</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 xml:space="preserve">   (12</w:t>
            </w:r>
            <w:r>
              <w:rPr>
                <w:sz w:val="20"/>
              </w:rPr>
              <w:t>9</w:t>
            </w:r>
            <w:r w:rsidRPr="007D6335">
              <w:rPr>
                <w:sz w:val="20"/>
              </w:rPr>
              <w:t>)</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(d)</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Net gain from fair value adjustment of investment properties</w:t>
            </w:r>
          </w:p>
        </w:tc>
        <w:tc>
          <w:tcPr>
            <w:tcW w:w="117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p>
          <w:p w:rsidR="00B92A1E"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w:t>
            </w:r>
          </w:p>
        </w:tc>
        <w:tc>
          <w:tcPr>
            <w:tcW w:w="189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p>
          <w:p w:rsidR="00B92A1E"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(113,528)</w:t>
            </w:r>
          </w:p>
        </w:tc>
        <w:tc>
          <w:tcPr>
            <w:tcW w:w="117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p>
          <w:p w:rsidR="00B92A1E"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w:t>
            </w:r>
          </w:p>
        </w:tc>
        <w:tc>
          <w:tcPr>
            <w:tcW w:w="189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p>
          <w:p w:rsidR="00B92A1E"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(113,528)</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(e)</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 xml:space="preserve">Other income including investment income </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5</w:t>
            </w:r>
            <w:r w:rsidRPr="007D6335">
              <w:rPr>
                <w:sz w:val="20"/>
              </w:rPr>
              <w:t>,</w:t>
            </w:r>
            <w:r>
              <w:rPr>
                <w:sz w:val="20"/>
              </w:rPr>
              <w:t>651</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4,157</w:t>
            </w:r>
            <w:r w:rsidRPr="007D6335">
              <w:rPr>
                <w:sz w:val="20"/>
              </w:rPr>
              <w:t>)</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sidRPr="007D6335">
              <w:rPr>
                <w:sz w:val="20"/>
              </w:rPr>
              <w:t xml:space="preserve">  (1</w:t>
            </w:r>
            <w:r>
              <w:rPr>
                <w:sz w:val="20"/>
              </w:rPr>
              <w:t>0</w:t>
            </w:r>
            <w:r w:rsidRPr="007D6335">
              <w:rPr>
                <w:sz w:val="20"/>
              </w:rPr>
              <w:t>,</w:t>
            </w:r>
            <w:r>
              <w:rPr>
                <w:sz w:val="20"/>
              </w:rPr>
              <w:t>674</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7,473</w:t>
            </w:r>
            <w:r w:rsidRPr="007D6335">
              <w:rPr>
                <w:sz w:val="20"/>
              </w:rPr>
              <w:t>)</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(f)</w:t>
            </w:r>
          </w:p>
        </w:tc>
        <w:tc>
          <w:tcPr>
            <w:tcW w:w="2430" w:type="dxa"/>
            <w:tcBorders>
              <w:right w:val="single" w:sz="4" w:space="0" w:color="auto"/>
            </w:tcBorders>
            <w:shd w:val="clear" w:color="auto" w:fill="auto"/>
          </w:tcPr>
          <w:p w:rsidR="00B92A1E" w:rsidRPr="00A54138" w:rsidRDefault="00B92A1E" w:rsidP="00B92A1E">
            <w:pPr>
              <w:pStyle w:val="BodyText"/>
              <w:ind w:hanging="18"/>
              <w:jc w:val="left"/>
              <w:rPr>
                <w:sz w:val="20"/>
              </w:rPr>
            </w:pPr>
            <w:r>
              <w:rPr>
                <w:sz w:val="20"/>
              </w:rPr>
              <w:t>Interest expense</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rPr>
                <w:sz w:val="20"/>
              </w:rPr>
            </w:pPr>
            <w:r w:rsidRPr="007D6335">
              <w:rPr>
                <w:sz w:val="20"/>
              </w:rPr>
              <w:t xml:space="preserve">   2</w:t>
            </w:r>
            <w:r>
              <w:rPr>
                <w:sz w:val="20"/>
              </w:rPr>
              <w:t>0</w:t>
            </w:r>
            <w:r w:rsidRPr="007D6335">
              <w:rPr>
                <w:sz w:val="20"/>
              </w:rPr>
              <w:t>,</w:t>
            </w:r>
            <w:r>
              <w:rPr>
                <w:sz w:val="20"/>
              </w:rPr>
              <w:t>471</w:t>
            </w:r>
          </w:p>
        </w:tc>
        <w:tc>
          <w:tcPr>
            <w:tcW w:w="1890" w:type="dxa"/>
            <w:tcBorders>
              <w:left w:val="single" w:sz="4" w:space="0" w:color="auto"/>
              <w:right w:val="single" w:sz="4" w:space="0" w:color="auto"/>
            </w:tcBorders>
            <w:shd w:val="clear" w:color="auto" w:fill="auto"/>
          </w:tcPr>
          <w:p w:rsidR="00B92A1E" w:rsidRPr="007D6335" w:rsidRDefault="00B92A1E" w:rsidP="00C40A94">
            <w:pPr>
              <w:pStyle w:val="BodyText"/>
              <w:ind w:left="-18" w:right="-18"/>
              <w:jc w:val="center"/>
              <w:rPr>
                <w:sz w:val="20"/>
              </w:rPr>
            </w:pPr>
            <w:r>
              <w:rPr>
                <w:sz w:val="20"/>
              </w:rPr>
              <w:t>14</w:t>
            </w:r>
            <w:r w:rsidRPr="007D6335">
              <w:rPr>
                <w:sz w:val="20"/>
              </w:rPr>
              <w:t>,</w:t>
            </w:r>
            <w:r>
              <w:rPr>
                <w:sz w:val="20"/>
              </w:rPr>
              <w:t>16</w:t>
            </w:r>
            <w:r w:rsidR="00C40A94">
              <w:rPr>
                <w:sz w:val="20"/>
              </w:rPr>
              <w:t>9</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rPr>
                <w:sz w:val="20"/>
              </w:rPr>
            </w:pPr>
            <w:r w:rsidRPr="007D6335">
              <w:rPr>
                <w:sz w:val="20"/>
              </w:rPr>
              <w:t xml:space="preserve">   </w:t>
            </w:r>
            <w:r>
              <w:rPr>
                <w:sz w:val="20"/>
              </w:rPr>
              <w:t>38</w:t>
            </w:r>
            <w:r w:rsidRPr="007D6335">
              <w:rPr>
                <w:sz w:val="20"/>
              </w:rPr>
              <w:t>,</w:t>
            </w:r>
            <w:r>
              <w:rPr>
                <w:sz w:val="20"/>
              </w:rPr>
              <w:t>836</w:t>
            </w:r>
          </w:p>
        </w:tc>
        <w:tc>
          <w:tcPr>
            <w:tcW w:w="1890" w:type="dxa"/>
            <w:tcBorders>
              <w:left w:val="single" w:sz="4" w:space="0" w:color="auto"/>
              <w:right w:val="single" w:sz="4" w:space="0" w:color="auto"/>
            </w:tcBorders>
            <w:shd w:val="clear" w:color="auto" w:fill="auto"/>
          </w:tcPr>
          <w:p w:rsidR="00B92A1E" w:rsidRPr="007D6335" w:rsidRDefault="00B92A1E" w:rsidP="00C40A94">
            <w:pPr>
              <w:pStyle w:val="BodyText"/>
              <w:ind w:left="-18" w:right="-18"/>
              <w:jc w:val="center"/>
              <w:rPr>
                <w:sz w:val="20"/>
              </w:rPr>
            </w:pPr>
            <w:r>
              <w:rPr>
                <w:sz w:val="20"/>
              </w:rPr>
              <w:t>26</w:t>
            </w:r>
            <w:r w:rsidRPr="007D6335">
              <w:rPr>
                <w:sz w:val="20"/>
              </w:rPr>
              <w:t>,</w:t>
            </w:r>
            <w:r>
              <w:rPr>
                <w:sz w:val="20"/>
              </w:rPr>
              <w:t>09</w:t>
            </w:r>
            <w:r w:rsidR="00C40A94">
              <w:rPr>
                <w:sz w:val="20"/>
              </w:rPr>
              <w:t>6</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(g)</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D</w:t>
            </w:r>
            <w:r w:rsidRPr="00A54138">
              <w:rPr>
                <w:sz w:val="20"/>
              </w:rPr>
              <w:t>epreciation and amortization</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sidRPr="007D6335">
              <w:rPr>
                <w:sz w:val="20"/>
              </w:rPr>
              <w:t xml:space="preserve">   1</w:t>
            </w:r>
            <w:r>
              <w:rPr>
                <w:sz w:val="20"/>
              </w:rPr>
              <w:t>4</w:t>
            </w:r>
            <w:r w:rsidRPr="007D6335">
              <w:rPr>
                <w:sz w:val="20"/>
              </w:rPr>
              <w:t>,</w:t>
            </w:r>
            <w:r>
              <w:rPr>
                <w:sz w:val="20"/>
              </w:rPr>
              <w:t>744</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9,873</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sidRPr="007D6335">
              <w:rPr>
                <w:sz w:val="20"/>
              </w:rPr>
              <w:t xml:space="preserve">   </w:t>
            </w:r>
            <w:r>
              <w:rPr>
                <w:sz w:val="20"/>
              </w:rPr>
              <w:t>29</w:t>
            </w:r>
            <w:r w:rsidRPr="007D6335">
              <w:rPr>
                <w:sz w:val="20"/>
              </w:rPr>
              <w:t>,</w:t>
            </w:r>
            <w:r>
              <w:rPr>
                <w:sz w:val="20"/>
              </w:rPr>
              <w:t>315</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2</w:t>
            </w:r>
            <w:r>
              <w:rPr>
                <w:sz w:val="20"/>
              </w:rPr>
              <w:t>1</w:t>
            </w:r>
            <w:r w:rsidRPr="007D6335">
              <w:rPr>
                <w:sz w:val="20"/>
              </w:rPr>
              <w:t>,</w:t>
            </w:r>
            <w:r>
              <w:rPr>
                <w:sz w:val="20"/>
              </w:rPr>
              <w:t>005</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(h)</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Allowance for impairment of trade and other receivables</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1</w:t>
            </w:r>
            <w:r w:rsidRPr="007D6335">
              <w:rPr>
                <w:sz w:val="20"/>
              </w:rPr>
              <w:t>,</w:t>
            </w:r>
            <w:r>
              <w:rPr>
                <w:sz w:val="20"/>
              </w:rPr>
              <w:t>819</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1</w:t>
            </w:r>
            <w:r w:rsidRPr="007D6335">
              <w:rPr>
                <w:sz w:val="20"/>
              </w:rPr>
              <w:t>,</w:t>
            </w:r>
            <w:r>
              <w:rPr>
                <w:sz w:val="20"/>
              </w:rPr>
              <w:t>350</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3,235</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2</w:t>
            </w:r>
            <w:r w:rsidRPr="007D6335">
              <w:rPr>
                <w:sz w:val="20"/>
              </w:rPr>
              <w:t>,</w:t>
            </w:r>
            <w:r>
              <w:rPr>
                <w:sz w:val="20"/>
              </w:rPr>
              <w:t>455</w:t>
            </w:r>
          </w:p>
        </w:tc>
      </w:tr>
      <w:tr w:rsidR="00B92A1E" w:rsidTr="00A5081D">
        <w:tc>
          <w:tcPr>
            <w:tcW w:w="540" w:type="dxa"/>
            <w:tcBorders>
              <w:left w:val="nil"/>
            </w:tcBorders>
          </w:tcPr>
          <w:p w:rsidR="00B92A1E" w:rsidRDefault="00B92A1E" w:rsidP="00B92A1E">
            <w:pPr>
              <w:pStyle w:val="BodyText"/>
              <w:ind w:hanging="18"/>
              <w:jc w:val="left"/>
              <w:rPr>
                <w:sz w:val="20"/>
              </w:rPr>
            </w:pPr>
            <w:r>
              <w:rPr>
                <w:sz w:val="20"/>
              </w:rPr>
              <w:t>(</w:t>
            </w:r>
            <w:proofErr w:type="spellStart"/>
            <w:r>
              <w:rPr>
                <w:sz w:val="20"/>
              </w:rPr>
              <w:t>i</w:t>
            </w:r>
            <w:proofErr w:type="spellEnd"/>
            <w:r>
              <w:rPr>
                <w:sz w:val="20"/>
              </w:rPr>
              <w:t>)</w:t>
            </w:r>
          </w:p>
        </w:tc>
        <w:tc>
          <w:tcPr>
            <w:tcW w:w="2430" w:type="dxa"/>
            <w:tcBorders>
              <w:right w:val="single" w:sz="4" w:space="0" w:color="auto"/>
            </w:tcBorders>
            <w:shd w:val="clear" w:color="auto" w:fill="auto"/>
          </w:tcPr>
          <w:p w:rsidR="00B92A1E" w:rsidRPr="00A366C5" w:rsidRDefault="00B92A1E" w:rsidP="00B92A1E">
            <w:pPr>
              <w:pStyle w:val="BodyText"/>
              <w:ind w:hanging="18"/>
              <w:jc w:val="left"/>
              <w:rPr>
                <w:sz w:val="20"/>
              </w:rPr>
            </w:pPr>
            <w:r>
              <w:rPr>
                <w:sz w:val="20"/>
              </w:rPr>
              <w:t>Write (back)/down of inventories</w:t>
            </w:r>
            <w:r w:rsidRPr="00A54138">
              <w:rPr>
                <w:sz w:val="20"/>
              </w:rPr>
              <w:t xml:space="preserve"> </w:t>
            </w:r>
          </w:p>
        </w:tc>
        <w:tc>
          <w:tcPr>
            <w:tcW w:w="117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r w:rsidRPr="007D6335">
              <w:rPr>
                <w:sz w:val="20"/>
              </w:rPr>
              <w:t xml:space="preserve">   </w:t>
            </w:r>
          </w:p>
          <w:p w:rsidR="00B92A1E" w:rsidRPr="007D6335" w:rsidRDefault="00B92A1E" w:rsidP="00B92A1E">
            <w:pPr>
              <w:pStyle w:val="BodyText"/>
              <w:ind w:left="-18" w:right="-18"/>
              <w:jc w:val="center"/>
              <w:rPr>
                <w:sz w:val="20"/>
              </w:rPr>
            </w:pPr>
            <w:r>
              <w:rPr>
                <w:sz w:val="20"/>
              </w:rPr>
              <w:t xml:space="preserve">    </w:t>
            </w:r>
            <w:r w:rsidRPr="007D6335">
              <w:rPr>
                <w:sz w:val="20"/>
              </w:rPr>
              <w:t xml:space="preserve"> </w:t>
            </w:r>
            <w:r>
              <w:rPr>
                <w:sz w:val="20"/>
              </w:rPr>
              <w:t>(2</w:t>
            </w:r>
            <w:r w:rsidRPr="007D6335">
              <w:rPr>
                <w:sz w:val="20"/>
              </w:rPr>
              <w:t>7)</w:t>
            </w:r>
          </w:p>
        </w:tc>
        <w:tc>
          <w:tcPr>
            <w:tcW w:w="189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r w:rsidRPr="007D6335">
              <w:rPr>
                <w:sz w:val="20"/>
              </w:rPr>
              <w:t xml:space="preserve"> </w:t>
            </w:r>
          </w:p>
          <w:p w:rsidR="00B92A1E" w:rsidRPr="007D6335" w:rsidRDefault="00B92A1E" w:rsidP="00B92A1E">
            <w:pPr>
              <w:pStyle w:val="BodyText"/>
              <w:ind w:left="-18" w:right="-18"/>
              <w:jc w:val="center"/>
              <w:rPr>
                <w:sz w:val="20"/>
              </w:rPr>
            </w:pPr>
            <w:r w:rsidRPr="007D6335">
              <w:rPr>
                <w:sz w:val="20"/>
              </w:rPr>
              <w:t xml:space="preserve"> </w:t>
            </w:r>
            <w:r>
              <w:rPr>
                <w:sz w:val="20"/>
              </w:rPr>
              <w:t>1,003</w:t>
            </w:r>
          </w:p>
        </w:tc>
        <w:tc>
          <w:tcPr>
            <w:tcW w:w="117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r w:rsidRPr="007D6335">
              <w:rPr>
                <w:sz w:val="20"/>
              </w:rPr>
              <w:t xml:space="preserve">  </w:t>
            </w:r>
          </w:p>
          <w:p w:rsidR="00B92A1E" w:rsidRPr="007D6335" w:rsidRDefault="00B92A1E" w:rsidP="00B92A1E">
            <w:pPr>
              <w:pStyle w:val="BodyText"/>
              <w:ind w:left="-18" w:right="-18"/>
              <w:jc w:val="center"/>
              <w:rPr>
                <w:sz w:val="20"/>
              </w:rPr>
            </w:pPr>
            <w:r>
              <w:rPr>
                <w:sz w:val="20"/>
              </w:rPr>
              <w:t xml:space="preserve">  </w:t>
            </w:r>
            <w:r w:rsidRPr="007D6335">
              <w:rPr>
                <w:sz w:val="20"/>
              </w:rPr>
              <w:t xml:space="preserve"> 4</w:t>
            </w:r>
            <w:r>
              <w:rPr>
                <w:sz w:val="20"/>
              </w:rPr>
              <w:t>3</w:t>
            </w:r>
            <w:r w:rsidRPr="007D6335">
              <w:rPr>
                <w:sz w:val="20"/>
              </w:rPr>
              <w:t>9</w:t>
            </w:r>
          </w:p>
        </w:tc>
        <w:tc>
          <w:tcPr>
            <w:tcW w:w="189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1,003</w:t>
            </w:r>
          </w:p>
        </w:tc>
      </w:tr>
      <w:tr w:rsidR="00B92A1E" w:rsidTr="00A5081D">
        <w:tc>
          <w:tcPr>
            <w:tcW w:w="540" w:type="dxa"/>
            <w:tcBorders>
              <w:left w:val="nil"/>
            </w:tcBorders>
          </w:tcPr>
          <w:p w:rsidR="00B92A1E" w:rsidRDefault="00B92A1E" w:rsidP="00B92A1E">
            <w:pPr>
              <w:pStyle w:val="BodyText"/>
              <w:ind w:hanging="18"/>
              <w:jc w:val="left"/>
              <w:rPr>
                <w:sz w:val="20"/>
              </w:rPr>
            </w:pPr>
            <w:r>
              <w:rPr>
                <w:sz w:val="20"/>
              </w:rPr>
              <w:t>(j)</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F</w:t>
            </w:r>
            <w:r w:rsidRPr="00A54138">
              <w:rPr>
                <w:sz w:val="20"/>
              </w:rPr>
              <w:t>oreign exchange loss</w:t>
            </w:r>
          </w:p>
        </w:tc>
        <w:tc>
          <w:tcPr>
            <w:tcW w:w="1170" w:type="dxa"/>
            <w:tcBorders>
              <w:left w:val="single" w:sz="4" w:space="0" w:color="auto"/>
              <w:bottom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sidRPr="007D6335">
              <w:rPr>
                <w:sz w:val="20"/>
              </w:rPr>
              <w:t>1,664</w:t>
            </w:r>
          </w:p>
        </w:tc>
        <w:tc>
          <w:tcPr>
            <w:tcW w:w="1890" w:type="dxa"/>
            <w:tcBorders>
              <w:left w:val="single" w:sz="4" w:space="0" w:color="auto"/>
              <w:bottom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Pr>
                <w:sz w:val="20"/>
              </w:rPr>
              <w:t xml:space="preserve"> </w:t>
            </w:r>
            <w:r w:rsidRPr="007D6335">
              <w:rPr>
                <w:sz w:val="20"/>
              </w:rPr>
              <w:t>2,052</w:t>
            </w:r>
          </w:p>
        </w:tc>
        <w:tc>
          <w:tcPr>
            <w:tcW w:w="1170" w:type="dxa"/>
            <w:tcBorders>
              <w:left w:val="single" w:sz="4" w:space="0" w:color="auto"/>
              <w:bottom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sidRPr="007D6335">
              <w:rPr>
                <w:sz w:val="20"/>
              </w:rPr>
              <w:t>6,293</w:t>
            </w:r>
          </w:p>
        </w:tc>
        <w:tc>
          <w:tcPr>
            <w:tcW w:w="1890" w:type="dxa"/>
            <w:tcBorders>
              <w:left w:val="single" w:sz="4" w:space="0" w:color="auto"/>
              <w:bottom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sidRPr="007D6335">
              <w:rPr>
                <w:sz w:val="20"/>
              </w:rPr>
              <w:t>4,632</w:t>
            </w:r>
          </w:p>
        </w:tc>
      </w:tr>
    </w:tbl>
    <w:p w:rsidR="006D57BB" w:rsidRDefault="006D57BB" w:rsidP="006D57BB">
      <w:pPr>
        <w:pStyle w:val="BodyText"/>
        <w:ind w:left="810" w:right="-450"/>
        <w:rPr>
          <w:b/>
          <w:sz w:val="20"/>
        </w:rPr>
      </w:pPr>
    </w:p>
    <w:p w:rsidR="006D57BB" w:rsidRDefault="006D57BB" w:rsidP="006D57BB">
      <w:pPr>
        <w:pStyle w:val="BodyText"/>
        <w:ind w:left="810" w:right="-450"/>
        <w:rPr>
          <w:b/>
          <w:sz w:val="20"/>
        </w:rPr>
      </w:pPr>
    </w:p>
    <w:p w:rsidR="006D57BB" w:rsidRDefault="006D57BB" w:rsidP="006D57BB">
      <w:pPr>
        <w:pStyle w:val="BodyText"/>
        <w:ind w:left="810" w:right="-450"/>
        <w:rPr>
          <w:b/>
          <w:sz w:val="20"/>
        </w:rPr>
      </w:pPr>
    </w:p>
    <w:p w:rsidR="006D57BB" w:rsidRDefault="006D57BB" w:rsidP="006D57BB">
      <w:pPr>
        <w:pStyle w:val="BodyText"/>
        <w:ind w:left="810" w:right="-450"/>
        <w:rPr>
          <w:b/>
          <w:sz w:val="20"/>
        </w:rPr>
      </w:pPr>
    </w:p>
    <w:p w:rsidR="006D57BB" w:rsidRDefault="006D57BB" w:rsidP="006D57BB">
      <w:pPr>
        <w:pStyle w:val="BodyText"/>
        <w:ind w:left="810" w:right="-450"/>
        <w:rPr>
          <w:b/>
          <w:sz w:val="20"/>
        </w:rPr>
      </w:pPr>
    </w:p>
    <w:tbl>
      <w:tblPr>
        <w:tblW w:w="9090" w:type="dxa"/>
        <w:tblInd w:w="828" w:type="dxa"/>
        <w:tblLayout w:type="fixed"/>
        <w:tblLook w:val="0000"/>
      </w:tblPr>
      <w:tblGrid>
        <w:gridCol w:w="540"/>
        <w:gridCol w:w="2430"/>
        <w:gridCol w:w="1170"/>
        <w:gridCol w:w="1890"/>
        <w:gridCol w:w="1170"/>
        <w:gridCol w:w="1890"/>
      </w:tblGrid>
      <w:tr w:rsidR="006D57BB" w:rsidTr="004E21B0">
        <w:trPr>
          <w:cantSplit/>
        </w:trPr>
        <w:tc>
          <w:tcPr>
            <w:tcW w:w="540" w:type="dxa"/>
          </w:tcPr>
          <w:p w:rsidR="006D57BB" w:rsidRDefault="006D57BB" w:rsidP="004E21B0">
            <w:pPr>
              <w:pStyle w:val="BodyText"/>
              <w:ind w:right="-450" w:hanging="1800"/>
              <w:rPr>
                <w:sz w:val="20"/>
              </w:rPr>
            </w:pPr>
          </w:p>
        </w:tc>
        <w:tc>
          <w:tcPr>
            <w:tcW w:w="2430" w:type="dxa"/>
          </w:tcPr>
          <w:p w:rsidR="006D57BB" w:rsidRDefault="006D57BB" w:rsidP="004E21B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6D57BB" w:rsidRDefault="006D57BB" w:rsidP="004E21B0">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6D57BB" w:rsidRDefault="006D57BB" w:rsidP="004E21B0">
            <w:pPr>
              <w:pStyle w:val="BodyText"/>
              <w:ind w:right="-108" w:hanging="108"/>
              <w:jc w:val="center"/>
              <w:rPr>
                <w:b/>
                <w:sz w:val="18"/>
              </w:rPr>
            </w:pPr>
            <w:r>
              <w:rPr>
                <w:b/>
                <w:sz w:val="18"/>
              </w:rPr>
              <w:t>CUMULATIVE QUARTER</w:t>
            </w:r>
          </w:p>
        </w:tc>
      </w:tr>
      <w:tr w:rsidR="006D57BB" w:rsidRPr="00A366C5" w:rsidTr="004E21B0">
        <w:tc>
          <w:tcPr>
            <w:tcW w:w="540" w:type="dxa"/>
          </w:tcPr>
          <w:p w:rsidR="006D57BB" w:rsidRPr="0024709B" w:rsidRDefault="006D57BB" w:rsidP="004E21B0">
            <w:pPr>
              <w:pStyle w:val="BodyText"/>
              <w:ind w:left="-108" w:right="-450" w:hanging="1800"/>
              <w:rPr>
                <w:b/>
                <w:sz w:val="20"/>
              </w:rPr>
            </w:pPr>
          </w:p>
        </w:tc>
        <w:tc>
          <w:tcPr>
            <w:tcW w:w="2430" w:type="dxa"/>
          </w:tcPr>
          <w:p w:rsidR="006D57BB" w:rsidRPr="0024709B" w:rsidRDefault="006D57BB" w:rsidP="004E21B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6D57BB" w:rsidRPr="0024709B" w:rsidRDefault="006D57BB" w:rsidP="004E21B0">
            <w:pPr>
              <w:pStyle w:val="BodyText"/>
              <w:tabs>
                <w:tab w:val="left" w:pos="360"/>
                <w:tab w:val="left" w:pos="540"/>
                <w:tab w:val="left" w:pos="630"/>
                <w:tab w:val="left" w:pos="1080"/>
              </w:tabs>
              <w:ind w:left="-18" w:right="-18"/>
              <w:jc w:val="center"/>
              <w:rPr>
                <w:b/>
                <w:sz w:val="18"/>
              </w:rPr>
            </w:pPr>
            <w:r w:rsidRPr="0024709B">
              <w:rPr>
                <w:b/>
                <w:sz w:val="18"/>
              </w:rPr>
              <w:t>CURRENT</w:t>
            </w:r>
          </w:p>
          <w:p w:rsidR="006D57BB" w:rsidRPr="0024709B" w:rsidRDefault="006D57BB" w:rsidP="004E21B0">
            <w:pPr>
              <w:pStyle w:val="BodyText"/>
              <w:tabs>
                <w:tab w:val="left" w:pos="360"/>
                <w:tab w:val="left" w:pos="540"/>
                <w:tab w:val="left" w:pos="630"/>
                <w:tab w:val="left" w:pos="1080"/>
              </w:tabs>
              <w:ind w:left="-18" w:right="-18"/>
              <w:jc w:val="center"/>
              <w:rPr>
                <w:b/>
                <w:sz w:val="18"/>
              </w:rPr>
            </w:pPr>
            <w:r w:rsidRPr="0024709B">
              <w:rPr>
                <w:b/>
                <w:sz w:val="18"/>
              </w:rPr>
              <w:t>YEAR</w:t>
            </w:r>
          </w:p>
          <w:p w:rsidR="006D57BB" w:rsidRPr="0024709B" w:rsidRDefault="006D57BB" w:rsidP="004E21B0">
            <w:pPr>
              <w:pStyle w:val="BodyText"/>
              <w:tabs>
                <w:tab w:val="left" w:pos="360"/>
                <w:tab w:val="left" w:pos="540"/>
                <w:tab w:val="left" w:pos="630"/>
                <w:tab w:val="left" w:pos="1080"/>
              </w:tabs>
              <w:ind w:left="-18" w:right="-18"/>
              <w:jc w:val="center"/>
              <w:rPr>
                <w:b/>
                <w:sz w:val="18"/>
              </w:rPr>
            </w:pPr>
            <w:r w:rsidRPr="0024709B">
              <w:rPr>
                <w:b/>
                <w:sz w:val="18"/>
              </w:rPr>
              <w:t>QUARTER</w:t>
            </w:r>
          </w:p>
          <w:p w:rsidR="006D57BB" w:rsidRPr="0024709B" w:rsidRDefault="006D57BB" w:rsidP="004E21B0">
            <w:pPr>
              <w:pStyle w:val="BodyText"/>
              <w:tabs>
                <w:tab w:val="left" w:pos="360"/>
                <w:tab w:val="left" w:pos="540"/>
                <w:tab w:val="left" w:pos="630"/>
                <w:tab w:val="left" w:pos="1080"/>
              </w:tabs>
              <w:ind w:left="-18" w:right="-18"/>
              <w:jc w:val="center"/>
              <w:rPr>
                <w:b/>
                <w:sz w:val="18"/>
              </w:rPr>
            </w:pPr>
            <w:r w:rsidRPr="0024709B">
              <w:rPr>
                <w:b/>
                <w:sz w:val="18"/>
              </w:rPr>
              <w:t>3</w:t>
            </w:r>
            <w:r>
              <w:rPr>
                <w:b/>
                <w:sz w:val="18"/>
              </w:rPr>
              <w:t>0</w:t>
            </w:r>
            <w:r w:rsidRPr="0024709B">
              <w:rPr>
                <w:b/>
                <w:sz w:val="18"/>
              </w:rPr>
              <w:t>/</w:t>
            </w:r>
            <w:r>
              <w:rPr>
                <w:b/>
                <w:sz w:val="18"/>
              </w:rPr>
              <w:t>6</w:t>
            </w:r>
            <w:r w:rsidRPr="0024709B">
              <w:rPr>
                <w:b/>
                <w:sz w:val="18"/>
              </w:rPr>
              <w:t>/201</w:t>
            </w:r>
            <w:r>
              <w:rPr>
                <w:b/>
                <w:sz w:val="18"/>
              </w:rPr>
              <w:t>2</w:t>
            </w:r>
          </w:p>
          <w:p w:rsidR="006D57BB" w:rsidRPr="0024709B" w:rsidRDefault="006D57BB" w:rsidP="004E21B0">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6D57BB" w:rsidRPr="0024709B" w:rsidRDefault="006D57BB" w:rsidP="004E21B0">
            <w:pPr>
              <w:pStyle w:val="BodyText"/>
              <w:tabs>
                <w:tab w:val="left" w:pos="360"/>
                <w:tab w:val="left" w:pos="540"/>
                <w:tab w:val="left" w:pos="630"/>
                <w:tab w:val="left" w:pos="1080"/>
              </w:tabs>
              <w:ind w:left="-108" w:right="-108"/>
              <w:jc w:val="center"/>
              <w:rPr>
                <w:b/>
                <w:sz w:val="18"/>
              </w:rPr>
            </w:pPr>
            <w:r w:rsidRPr="0024709B">
              <w:rPr>
                <w:b/>
                <w:sz w:val="18"/>
              </w:rPr>
              <w:t>PRECEDING YEAR</w:t>
            </w:r>
          </w:p>
          <w:p w:rsidR="006D57BB" w:rsidRPr="0024709B" w:rsidRDefault="006D57BB" w:rsidP="004E21B0">
            <w:pPr>
              <w:pStyle w:val="BodyText"/>
              <w:tabs>
                <w:tab w:val="left" w:pos="360"/>
                <w:tab w:val="left" w:pos="540"/>
                <w:tab w:val="left" w:pos="630"/>
                <w:tab w:val="left" w:pos="1080"/>
              </w:tabs>
              <w:ind w:left="-108" w:right="-108"/>
              <w:jc w:val="center"/>
              <w:rPr>
                <w:b/>
                <w:sz w:val="18"/>
              </w:rPr>
            </w:pPr>
            <w:r w:rsidRPr="0024709B">
              <w:rPr>
                <w:b/>
                <w:sz w:val="18"/>
              </w:rPr>
              <w:t>CORRESPONDING</w:t>
            </w:r>
          </w:p>
          <w:p w:rsidR="006D57BB" w:rsidRPr="0024709B" w:rsidRDefault="006D57BB" w:rsidP="004E21B0">
            <w:pPr>
              <w:pStyle w:val="BodyText"/>
              <w:tabs>
                <w:tab w:val="left" w:pos="360"/>
                <w:tab w:val="left" w:pos="540"/>
                <w:tab w:val="left" w:pos="630"/>
                <w:tab w:val="left" w:pos="1080"/>
              </w:tabs>
              <w:ind w:left="-108" w:right="-108"/>
              <w:jc w:val="center"/>
              <w:rPr>
                <w:b/>
                <w:sz w:val="18"/>
              </w:rPr>
            </w:pPr>
            <w:r w:rsidRPr="0024709B">
              <w:rPr>
                <w:b/>
                <w:sz w:val="18"/>
              </w:rPr>
              <w:t>QUARTER</w:t>
            </w:r>
          </w:p>
          <w:p w:rsidR="006D57BB" w:rsidRPr="0024709B" w:rsidRDefault="006D57BB" w:rsidP="004E21B0">
            <w:pPr>
              <w:pStyle w:val="BodyText"/>
              <w:tabs>
                <w:tab w:val="left" w:pos="360"/>
                <w:tab w:val="left" w:pos="540"/>
                <w:tab w:val="left" w:pos="630"/>
                <w:tab w:val="left" w:pos="1080"/>
              </w:tabs>
              <w:ind w:left="-108" w:right="-108"/>
              <w:jc w:val="center"/>
              <w:rPr>
                <w:b/>
                <w:sz w:val="18"/>
              </w:rPr>
            </w:pPr>
            <w:r w:rsidRPr="0024709B">
              <w:rPr>
                <w:b/>
                <w:sz w:val="18"/>
              </w:rPr>
              <w:t>3</w:t>
            </w:r>
            <w:r>
              <w:rPr>
                <w:b/>
                <w:sz w:val="18"/>
              </w:rPr>
              <w:t>0</w:t>
            </w:r>
            <w:r w:rsidRPr="0024709B">
              <w:rPr>
                <w:b/>
                <w:sz w:val="18"/>
              </w:rPr>
              <w:t>/</w:t>
            </w:r>
            <w:r>
              <w:rPr>
                <w:b/>
                <w:sz w:val="18"/>
              </w:rPr>
              <w:t>6/2011</w:t>
            </w:r>
          </w:p>
          <w:p w:rsidR="006D57BB" w:rsidRPr="0024709B" w:rsidRDefault="006D57BB" w:rsidP="004E21B0">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6D57BB" w:rsidRPr="0024709B" w:rsidRDefault="006D57BB" w:rsidP="004E21B0">
            <w:pPr>
              <w:pStyle w:val="BodyText"/>
              <w:tabs>
                <w:tab w:val="left" w:pos="360"/>
                <w:tab w:val="left" w:pos="540"/>
                <w:tab w:val="left" w:pos="630"/>
                <w:tab w:val="left" w:pos="1080"/>
              </w:tabs>
              <w:ind w:right="-108" w:hanging="108"/>
              <w:jc w:val="center"/>
              <w:rPr>
                <w:b/>
                <w:sz w:val="18"/>
              </w:rPr>
            </w:pPr>
            <w:r w:rsidRPr="0024709B">
              <w:rPr>
                <w:b/>
                <w:sz w:val="18"/>
              </w:rPr>
              <w:t>CURRENT</w:t>
            </w:r>
          </w:p>
          <w:p w:rsidR="006D57BB" w:rsidRPr="0024709B" w:rsidRDefault="006D57BB" w:rsidP="004E21B0">
            <w:pPr>
              <w:pStyle w:val="BodyText"/>
              <w:tabs>
                <w:tab w:val="left" w:pos="360"/>
                <w:tab w:val="left" w:pos="540"/>
                <w:tab w:val="left" w:pos="630"/>
                <w:tab w:val="left" w:pos="1080"/>
              </w:tabs>
              <w:ind w:right="-108" w:hanging="108"/>
              <w:jc w:val="center"/>
              <w:rPr>
                <w:b/>
                <w:sz w:val="18"/>
              </w:rPr>
            </w:pPr>
            <w:r w:rsidRPr="0024709B">
              <w:rPr>
                <w:b/>
                <w:sz w:val="18"/>
              </w:rPr>
              <w:t>YEAR TO DATE</w:t>
            </w:r>
          </w:p>
          <w:p w:rsidR="006D57BB" w:rsidRPr="0024709B" w:rsidRDefault="006D57BB" w:rsidP="004E21B0">
            <w:pPr>
              <w:pStyle w:val="BodyText"/>
              <w:tabs>
                <w:tab w:val="left" w:pos="360"/>
                <w:tab w:val="left" w:pos="540"/>
                <w:tab w:val="left" w:pos="630"/>
                <w:tab w:val="left" w:pos="1080"/>
              </w:tabs>
              <w:ind w:right="-108" w:hanging="108"/>
              <w:jc w:val="center"/>
              <w:rPr>
                <w:b/>
                <w:sz w:val="18"/>
              </w:rPr>
            </w:pPr>
            <w:r w:rsidRPr="0024709B">
              <w:rPr>
                <w:b/>
                <w:sz w:val="18"/>
              </w:rPr>
              <w:t>3</w:t>
            </w:r>
            <w:r>
              <w:rPr>
                <w:b/>
                <w:sz w:val="18"/>
              </w:rPr>
              <w:t>0</w:t>
            </w:r>
            <w:r w:rsidRPr="0024709B">
              <w:rPr>
                <w:b/>
                <w:sz w:val="18"/>
              </w:rPr>
              <w:t>/</w:t>
            </w:r>
            <w:r>
              <w:rPr>
                <w:b/>
                <w:sz w:val="18"/>
              </w:rPr>
              <w:t>6/2012</w:t>
            </w:r>
          </w:p>
          <w:p w:rsidR="006D57BB" w:rsidRPr="0024709B" w:rsidRDefault="006D57BB" w:rsidP="004E21B0">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6D57BB" w:rsidRPr="00A366C5" w:rsidRDefault="006D57BB" w:rsidP="004E21B0">
            <w:pPr>
              <w:pStyle w:val="BodyText"/>
              <w:tabs>
                <w:tab w:val="left" w:pos="360"/>
                <w:tab w:val="left" w:pos="540"/>
                <w:tab w:val="left" w:pos="630"/>
                <w:tab w:val="left" w:pos="1080"/>
              </w:tabs>
              <w:ind w:right="-108" w:hanging="108"/>
              <w:jc w:val="center"/>
              <w:rPr>
                <w:b/>
                <w:sz w:val="18"/>
              </w:rPr>
            </w:pPr>
            <w:r w:rsidRPr="00A366C5">
              <w:rPr>
                <w:b/>
                <w:sz w:val="18"/>
              </w:rPr>
              <w:t>PRECEDING YEAR</w:t>
            </w:r>
          </w:p>
          <w:p w:rsidR="006D57BB" w:rsidRPr="00A366C5" w:rsidRDefault="006D57BB" w:rsidP="004E21B0">
            <w:pPr>
              <w:pStyle w:val="BodyText"/>
              <w:tabs>
                <w:tab w:val="left" w:pos="360"/>
                <w:tab w:val="left" w:pos="540"/>
                <w:tab w:val="left" w:pos="630"/>
                <w:tab w:val="left" w:pos="1080"/>
              </w:tabs>
              <w:ind w:right="-108" w:hanging="108"/>
              <w:jc w:val="center"/>
              <w:rPr>
                <w:b/>
                <w:sz w:val="18"/>
              </w:rPr>
            </w:pPr>
            <w:r w:rsidRPr="00A366C5">
              <w:rPr>
                <w:b/>
                <w:sz w:val="18"/>
              </w:rPr>
              <w:t>CORRESPONDING</w:t>
            </w:r>
          </w:p>
          <w:p w:rsidR="006D57BB" w:rsidRPr="00A366C5" w:rsidRDefault="006D57BB" w:rsidP="004E21B0">
            <w:pPr>
              <w:pStyle w:val="BodyText"/>
              <w:tabs>
                <w:tab w:val="left" w:pos="360"/>
                <w:tab w:val="left" w:pos="540"/>
                <w:tab w:val="left" w:pos="630"/>
                <w:tab w:val="left" w:pos="1080"/>
              </w:tabs>
              <w:ind w:right="-108" w:hanging="108"/>
              <w:jc w:val="center"/>
              <w:rPr>
                <w:b/>
                <w:sz w:val="18"/>
              </w:rPr>
            </w:pPr>
            <w:r w:rsidRPr="00A366C5">
              <w:rPr>
                <w:b/>
                <w:sz w:val="18"/>
              </w:rPr>
              <w:t>PERIOD</w:t>
            </w:r>
          </w:p>
          <w:p w:rsidR="006D57BB" w:rsidRPr="00A366C5" w:rsidRDefault="006D57BB" w:rsidP="004E21B0">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0</w:t>
            </w:r>
            <w:r w:rsidRPr="00A366C5">
              <w:rPr>
                <w:b/>
                <w:sz w:val="18"/>
              </w:rPr>
              <w:t>/</w:t>
            </w:r>
            <w:r>
              <w:rPr>
                <w:b/>
                <w:sz w:val="18"/>
              </w:rPr>
              <w:t>6/2011</w:t>
            </w:r>
          </w:p>
          <w:p w:rsidR="006D57BB" w:rsidRPr="00A366C5" w:rsidRDefault="006D57BB" w:rsidP="004E21B0">
            <w:pPr>
              <w:pStyle w:val="BodyText"/>
              <w:tabs>
                <w:tab w:val="left" w:pos="360"/>
                <w:tab w:val="left" w:pos="540"/>
                <w:tab w:val="left" w:pos="702"/>
                <w:tab w:val="left" w:pos="1080"/>
              </w:tabs>
              <w:ind w:right="-108" w:hanging="108"/>
              <w:jc w:val="center"/>
              <w:rPr>
                <w:b/>
                <w:sz w:val="18"/>
              </w:rPr>
            </w:pPr>
            <w:r w:rsidRPr="00A366C5">
              <w:rPr>
                <w:b/>
                <w:sz w:val="18"/>
              </w:rPr>
              <w:t>RM’000</w:t>
            </w:r>
          </w:p>
        </w:tc>
      </w:tr>
      <w:tr w:rsidR="006D57BB" w:rsidTr="004E21B0">
        <w:tc>
          <w:tcPr>
            <w:tcW w:w="540" w:type="dxa"/>
            <w:tcBorders>
              <w:left w:val="nil"/>
            </w:tcBorders>
          </w:tcPr>
          <w:p w:rsidR="006D57BB" w:rsidRDefault="006D57BB" w:rsidP="004E21B0">
            <w:pPr>
              <w:pStyle w:val="BodyText"/>
              <w:ind w:hanging="18"/>
              <w:jc w:val="left"/>
              <w:rPr>
                <w:sz w:val="20"/>
              </w:rPr>
            </w:pPr>
            <w:r>
              <w:rPr>
                <w:sz w:val="20"/>
              </w:rPr>
              <w:t>(k)</w:t>
            </w:r>
          </w:p>
        </w:tc>
        <w:tc>
          <w:tcPr>
            <w:tcW w:w="2430" w:type="dxa"/>
            <w:tcBorders>
              <w:right w:val="single" w:sz="4" w:space="0" w:color="auto"/>
            </w:tcBorders>
            <w:shd w:val="clear" w:color="auto" w:fill="auto"/>
          </w:tcPr>
          <w:p w:rsidR="006D57BB" w:rsidRDefault="006D57BB" w:rsidP="004E21B0">
            <w:pPr>
              <w:pStyle w:val="BodyText"/>
              <w:ind w:hanging="18"/>
              <w:jc w:val="left"/>
              <w:rPr>
                <w:sz w:val="20"/>
              </w:rPr>
            </w:pPr>
            <w:r>
              <w:rPr>
                <w:sz w:val="20"/>
              </w:rPr>
              <w:t>Net fair value (</w:t>
            </w:r>
            <w:r w:rsidRPr="00A54138">
              <w:rPr>
                <w:sz w:val="20"/>
              </w:rPr>
              <w:t>gain</w:t>
            </w:r>
            <w:r>
              <w:rPr>
                <w:sz w:val="20"/>
              </w:rPr>
              <w:t>)/</w:t>
            </w:r>
            <w:r w:rsidRPr="00A54138">
              <w:rPr>
                <w:sz w:val="20"/>
              </w:rPr>
              <w:t xml:space="preserve">loss on </w:t>
            </w:r>
            <w:r>
              <w:rPr>
                <w:sz w:val="20"/>
              </w:rPr>
              <w:t>financial instruments:</w:t>
            </w:r>
          </w:p>
          <w:p w:rsidR="006D57BB" w:rsidRDefault="006D57BB" w:rsidP="004E21B0">
            <w:pPr>
              <w:pStyle w:val="BodyText"/>
              <w:numPr>
                <w:ilvl w:val="0"/>
                <w:numId w:val="11"/>
              </w:numPr>
              <w:ind w:left="162" w:hanging="180"/>
              <w:jc w:val="left"/>
              <w:rPr>
                <w:sz w:val="20"/>
              </w:rPr>
            </w:pPr>
            <w:r>
              <w:rPr>
                <w:sz w:val="20"/>
              </w:rPr>
              <w:t>held for trading investment securities</w:t>
            </w:r>
          </w:p>
          <w:p w:rsidR="006D57BB" w:rsidRDefault="006D57BB" w:rsidP="004E21B0">
            <w:pPr>
              <w:pStyle w:val="BodyText"/>
              <w:numPr>
                <w:ilvl w:val="0"/>
                <w:numId w:val="11"/>
              </w:numPr>
              <w:ind w:left="162" w:hanging="180"/>
              <w:jc w:val="left"/>
              <w:rPr>
                <w:sz w:val="20"/>
              </w:rPr>
            </w:pPr>
            <w:r>
              <w:rPr>
                <w:sz w:val="20"/>
              </w:rPr>
              <w:t>derivatives</w:t>
            </w:r>
          </w:p>
          <w:p w:rsidR="006D57BB" w:rsidRDefault="006D57BB" w:rsidP="004E21B0">
            <w:pPr>
              <w:pStyle w:val="BodyText"/>
              <w:numPr>
                <w:ilvl w:val="0"/>
                <w:numId w:val="11"/>
              </w:numPr>
              <w:ind w:left="162" w:hanging="180"/>
              <w:jc w:val="left"/>
              <w:rPr>
                <w:sz w:val="20"/>
              </w:rPr>
            </w:pPr>
            <w:r>
              <w:rPr>
                <w:sz w:val="20"/>
              </w:rPr>
              <w:t>designated at fair value through profit or loss</w:t>
            </w:r>
          </w:p>
        </w:tc>
        <w:tc>
          <w:tcPr>
            <w:tcW w:w="1170" w:type="dxa"/>
            <w:tcBorders>
              <w:left w:val="single" w:sz="4" w:space="0" w:color="auto"/>
              <w:bottom w:val="single" w:sz="4" w:space="0" w:color="auto"/>
              <w:right w:val="single" w:sz="4" w:space="0" w:color="auto"/>
            </w:tcBorders>
            <w:shd w:val="clear" w:color="auto" w:fill="auto"/>
          </w:tcPr>
          <w:p w:rsidR="006D57BB" w:rsidRPr="007D6335" w:rsidRDefault="006D57BB" w:rsidP="004E21B0">
            <w:pPr>
              <w:pStyle w:val="BodyText"/>
              <w:ind w:left="-18" w:right="-18"/>
              <w:jc w:val="center"/>
              <w:rPr>
                <w:sz w:val="20"/>
              </w:rPr>
            </w:pPr>
          </w:p>
          <w:p w:rsidR="006D57BB" w:rsidRPr="007D6335" w:rsidRDefault="006D57BB" w:rsidP="004E21B0">
            <w:pPr>
              <w:pStyle w:val="BodyText"/>
              <w:ind w:left="-18" w:right="-18"/>
              <w:jc w:val="center"/>
              <w:rPr>
                <w:sz w:val="20"/>
              </w:rPr>
            </w:pPr>
          </w:p>
          <w:p w:rsidR="006D57BB" w:rsidRDefault="006D57BB" w:rsidP="004E21B0">
            <w:pPr>
              <w:pStyle w:val="BodyText"/>
              <w:ind w:left="-18" w:right="-18"/>
              <w:jc w:val="center"/>
              <w:rPr>
                <w:sz w:val="20"/>
              </w:rPr>
            </w:pPr>
            <w:r w:rsidRPr="007D6335">
              <w:rPr>
                <w:sz w:val="20"/>
              </w:rPr>
              <w:t xml:space="preserve">    </w:t>
            </w:r>
          </w:p>
          <w:p w:rsidR="006D57BB" w:rsidRDefault="006D57BB" w:rsidP="004E21B0">
            <w:pPr>
              <w:pStyle w:val="BodyText"/>
              <w:ind w:left="-18" w:right="-18"/>
              <w:jc w:val="center"/>
              <w:rPr>
                <w:sz w:val="20"/>
              </w:rPr>
            </w:pPr>
            <w:r>
              <w:rPr>
                <w:sz w:val="20"/>
              </w:rPr>
              <w:t xml:space="preserve">    (2)</w:t>
            </w:r>
          </w:p>
          <w:p w:rsidR="006D57BB" w:rsidRPr="007D6335" w:rsidRDefault="006D57BB" w:rsidP="004E21B0">
            <w:pPr>
              <w:pStyle w:val="BodyText"/>
              <w:ind w:left="-18" w:right="-18"/>
              <w:jc w:val="center"/>
              <w:rPr>
                <w:sz w:val="20"/>
              </w:rPr>
            </w:pPr>
            <w:r>
              <w:rPr>
                <w:sz w:val="20"/>
              </w:rPr>
              <w:t xml:space="preserve"> </w:t>
            </w:r>
            <w:r w:rsidRPr="007D6335">
              <w:rPr>
                <w:sz w:val="20"/>
              </w:rPr>
              <w:t>(481)</w:t>
            </w:r>
          </w:p>
          <w:p w:rsidR="006D57BB" w:rsidRPr="007D6335" w:rsidRDefault="006D57BB" w:rsidP="004E21B0">
            <w:pPr>
              <w:pStyle w:val="BodyText"/>
              <w:ind w:left="-18" w:right="-18"/>
              <w:jc w:val="center"/>
              <w:rPr>
                <w:sz w:val="20"/>
              </w:rPr>
            </w:pPr>
          </w:p>
          <w:p w:rsidR="006D57BB" w:rsidRPr="007D6335" w:rsidRDefault="006D57BB" w:rsidP="004E21B0">
            <w:pPr>
              <w:pStyle w:val="BodyText"/>
              <w:ind w:left="-18" w:right="-18"/>
              <w:jc w:val="center"/>
              <w:rPr>
                <w:sz w:val="20"/>
              </w:rPr>
            </w:pPr>
            <w:r>
              <w:rPr>
                <w:sz w:val="20"/>
              </w:rPr>
              <w:t xml:space="preserve">    </w:t>
            </w:r>
            <w:r w:rsidRPr="007D6335">
              <w:rPr>
                <w:sz w:val="20"/>
              </w:rPr>
              <w:t xml:space="preserve"> </w:t>
            </w:r>
            <w:r>
              <w:rPr>
                <w:sz w:val="20"/>
              </w:rPr>
              <w:t>3</w:t>
            </w:r>
          </w:p>
        </w:tc>
        <w:tc>
          <w:tcPr>
            <w:tcW w:w="1890" w:type="dxa"/>
            <w:tcBorders>
              <w:left w:val="single" w:sz="4" w:space="0" w:color="auto"/>
              <w:bottom w:val="single" w:sz="4" w:space="0" w:color="auto"/>
              <w:right w:val="single" w:sz="4" w:space="0" w:color="auto"/>
            </w:tcBorders>
            <w:shd w:val="clear" w:color="auto" w:fill="auto"/>
          </w:tcPr>
          <w:p w:rsidR="006D57BB" w:rsidRPr="007D6335" w:rsidRDefault="006D57BB" w:rsidP="004E21B0">
            <w:pPr>
              <w:pStyle w:val="BodyText"/>
              <w:ind w:left="-18" w:right="-18"/>
              <w:jc w:val="center"/>
              <w:rPr>
                <w:sz w:val="20"/>
              </w:rPr>
            </w:pPr>
          </w:p>
          <w:p w:rsidR="006D57BB" w:rsidRPr="007D6335" w:rsidRDefault="006D57BB" w:rsidP="004E21B0">
            <w:pPr>
              <w:pStyle w:val="BodyText"/>
              <w:ind w:left="-18" w:right="-18"/>
              <w:jc w:val="center"/>
              <w:rPr>
                <w:sz w:val="20"/>
              </w:rPr>
            </w:pPr>
          </w:p>
          <w:p w:rsidR="006D57BB" w:rsidRDefault="006D57BB" w:rsidP="004E21B0">
            <w:pPr>
              <w:pStyle w:val="BodyText"/>
              <w:ind w:left="-18" w:right="-18"/>
              <w:jc w:val="center"/>
              <w:rPr>
                <w:sz w:val="20"/>
              </w:rPr>
            </w:pPr>
            <w:r w:rsidRPr="007D6335">
              <w:rPr>
                <w:sz w:val="20"/>
              </w:rPr>
              <w:t xml:space="preserve">  </w:t>
            </w:r>
          </w:p>
          <w:p w:rsidR="006D57BB" w:rsidRDefault="006D57BB" w:rsidP="004E21B0">
            <w:pPr>
              <w:pStyle w:val="BodyText"/>
              <w:ind w:left="-18" w:right="-18"/>
              <w:jc w:val="center"/>
              <w:rPr>
                <w:sz w:val="20"/>
              </w:rPr>
            </w:pPr>
            <w:r>
              <w:rPr>
                <w:sz w:val="20"/>
              </w:rPr>
              <w:t xml:space="preserve"> (445)</w:t>
            </w:r>
          </w:p>
          <w:p w:rsidR="006D57BB" w:rsidRPr="007D6335" w:rsidRDefault="006D57BB" w:rsidP="004E21B0">
            <w:pPr>
              <w:pStyle w:val="BodyText"/>
              <w:ind w:left="-18" w:right="-18"/>
              <w:jc w:val="center"/>
              <w:rPr>
                <w:sz w:val="20"/>
              </w:rPr>
            </w:pPr>
            <w:r w:rsidRPr="007D6335">
              <w:rPr>
                <w:sz w:val="20"/>
              </w:rPr>
              <w:t xml:space="preserve"> 314</w:t>
            </w:r>
          </w:p>
          <w:p w:rsidR="006D57BB" w:rsidRPr="007D6335" w:rsidRDefault="006D57BB" w:rsidP="004E21B0">
            <w:pPr>
              <w:pStyle w:val="BodyText"/>
              <w:ind w:left="-18" w:right="-18"/>
              <w:jc w:val="center"/>
              <w:rPr>
                <w:sz w:val="20"/>
              </w:rPr>
            </w:pPr>
          </w:p>
          <w:p w:rsidR="006D57BB" w:rsidRPr="007D6335" w:rsidRDefault="006D57BB" w:rsidP="004E21B0">
            <w:pPr>
              <w:pStyle w:val="BodyText"/>
              <w:ind w:left="-18" w:right="-18"/>
              <w:jc w:val="center"/>
              <w:rPr>
                <w:sz w:val="20"/>
              </w:rPr>
            </w:pPr>
            <w:r>
              <w:rPr>
                <w:sz w:val="20"/>
              </w:rPr>
              <w:t xml:space="preserve">    3</w:t>
            </w:r>
          </w:p>
        </w:tc>
        <w:tc>
          <w:tcPr>
            <w:tcW w:w="1170" w:type="dxa"/>
            <w:tcBorders>
              <w:left w:val="single" w:sz="4" w:space="0" w:color="auto"/>
              <w:bottom w:val="single" w:sz="4" w:space="0" w:color="auto"/>
              <w:right w:val="single" w:sz="4" w:space="0" w:color="auto"/>
            </w:tcBorders>
            <w:shd w:val="clear" w:color="auto" w:fill="auto"/>
          </w:tcPr>
          <w:p w:rsidR="006D57BB" w:rsidRPr="007D6335" w:rsidRDefault="006D57BB" w:rsidP="004E21B0">
            <w:pPr>
              <w:pStyle w:val="BodyText"/>
              <w:ind w:left="-18" w:right="-18"/>
              <w:jc w:val="center"/>
              <w:rPr>
                <w:sz w:val="20"/>
              </w:rPr>
            </w:pPr>
          </w:p>
          <w:p w:rsidR="006D57BB" w:rsidRPr="007D6335" w:rsidRDefault="006D57BB" w:rsidP="004E21B0">
            <w:pPr>
              <w:pStyle w:val="BodyText"/>
              <w:ind w:left="-18" w:right="-18"/>
              <w:jc w:val="center"/>
              <w:rPr>
                <w:sz w:val="20"/>
              </w:rPr>
            </w:pPr>
          </w:p>
          <w:p w:rsidR="006D57BB" w:rsidRDefault="006D57BB" w:rsidP="004E21B0">
            <w:pPr>
              <w:pStyle w:val="BodyText"/>
              <w:ind w:left="-18" w:right="-18"/>
              <w:jc w:val="center"/>
              <w:rPr>
                <w:sz w:val="20"/>
              </w:rPr>
            </w:pPr>
            <w:r w:rsidRPr="007D6335">
              <w:rPr>
                <w:sz w:val="20"/>
              </w:rPr>
              <w:t xml:space="preserve"> </w:t>
            </w:r>
          </w:p>
          <w:p w:rsidR="006D57BB" w:rsidRDefault="006D57BB" w:rsidP="004E21B0">
            <w:pPr>
              <w:pStyle w:val="BodyText"/>
              <w:ind w:left="-18" w:right="-18"/>
              <w:jc w:val="center"/>
              <w:rPr>
                <w:sz w:val="20"/>
              </w:rPr>
            </w:pPr>
            <w:r>
              <w:rPr>
                <w:sz w:val="20"/>
              </w:rPr>
              <w:t xml:space="preserve">     4</w:t>
            </w:r>
          </w:p>
          <w:p w:rsidR="006D57BB" w:rsidRPr="007D6335" w:rsidRDefault="006D57BB" w:rsidP="004E21B0">
            <w:pPr>
              <w:pStyle w:val="BodyText"/>
              <w:ind w:left="-18" w:right="-18"/>
              <w:jc w:val="center"/>
              <w:rPr>
                <w:sz w:val="20"/>
              </w:rPr>
            </w:pPr>
            <w:r w:rsidRPr="007D6335">
              <w:rPr>
                <w:sz w:val="20"/>
              </w:rPr>
              <w:t xml:space="preserve">  (569)</w:t>
            </w:r>
          </w:p>
          <w:p w:rsidR="006D57BB" w:rsidRPr="007D6335" w:rsidRDefault="006D57BB" w:rsidP="004E21B0">
            <w:pPr>
              <w:pStyle w:val="BodyText"/>
              <w:ind w:left="-18" w:right="-18"/>
              <w:jc w:val="center"/>
              <w:rPr>
                <w:sz w:val="20"/>
              </w:rPr>
            </w:pPr>
          </w:p>
          <w:p w:rsidR="006D57BB" w:rsidRPr="007D6335" w:rsidRDefault="006D57BB" w:rsidP="004E21B0">
            <w:pPr>
              <w:pStyle w:val="BodyText"/>
              <w:ind w:left="-18" w:right="-18"/>
              <w:jc w:val="center"/>
              <w:rPr>
                <w:sz w:val="20"/>
              </w:rPr>
            </w:pPr>
            <w:r>
              <w:rPr>
                <w:sz w:val="20"/>
              </w:rPr>
              <w:t xml:space="preserve">    </w:t>
            </w:r>
            <w:r w:rsidRPr="007D6335">
              <w:rPr>
                <w:sz w:val="20"/>
              </w:rPr>
              <w:t xml:space="preserve"> (</w:t>
            </w:r>
            <w:r>
              <w:rPr>
                <w:sz w:val="20"/>
              </w:rPr>
              <w:t>91)</w:t>
            </w:r>
          </w:p>
        </w:tc>
        <w:tc>
          <w:tcPr>
            <w:tcW w:w="1890" w:type="dxa"/>
            <w:tcBorders>
              <w:left w:val="single" w:sz="4" w:space="0" w:color="auto"/>
              <w:bottom w:val="single" w:sz="4" w:space="0" w:color="auto"/>
              <w:right w:val="single" w:sz="4" w:space="0" w:color="auto"/>
            </w:tcBorders>
            <w:shd w:val="clear" w:color="auto" w:fill="auto"/>
          </w:tcPr>
          <w:p w:rsidR="006D57BB" w:rsidRPr="007D6335" w:rsidRDefault="006D57BB" w:rsidP="004E21B0">
            <w:pPr>
              <w:pStyle w:val="BodyText"/>
              <w:ind w:left="-18" w:right="-18"/>
              <w:jc w:val="center"/>
              <w:rPr>
                <w:sz w:val="20"/>
              </w:rPr>
            </w:pPr>
          </w:p>
          <w:p w:rsidR="006D57BB" w:rsidRPr="007D6335" w:rsidRDefault="006D57BB" w:rsidP="004E21B0">
            <w:pPr>
              <w:pStyle w:val="BodyText"/>
              <w:ind w:left="-18" w:right="-18"/>
              <w:jc w:val="center"/>
              <w:rPr>
                <w:sz w:val="20"/>
              </w:rPr>
            </w:pPr>
          </w:p>
          <w:p w:rsidR="006D57BB" w:rsidRDefault="006D57BB" w:rsidP="004E21B0">
            <w:pPr>
              <w:pStyle w:val="BodyText"/>
              <w:ind w:left="-18" w:right="-18"/>
              <w:jc w:val="center"/>
              <w:rPr>
                <w:sz w:val="20"/>
              </w:rPr>
            </w:pPr>
          </w:p>
          <w:p w:rsidR="006D57BB" w:rsidRDefault="006D57BB" w:rsidP="004E21B0">
            <w:pPr>
              <w:pStyle w:val="BodyText"/>
              <w:ind w:left="-18" w:right="-18"/>
              <w:jc w:val="center"/>
              <w:rPr>
                <w:sz w:val="20"/>
              </w:rPr>
            </w:pPr>
            <w:r>
              <w:rPr>
                <w:sz w:val="20"/>
              </w:rPr>
              <w:t xml:space="preserve">      (1)</w:t>
            </w:r>
          </w:p>
          <w:p w:rsidR="006D57BB" w:rsidRPr="007D6335" w:rsidRDefault="006D57BB" w:rsidP="004E21B0">
            <w:pPr>
              <w:pStyle w:val="BodyText"/>
              <w:ind w:left="-18" w:right="-18"/>
              <w:jc w:val="center"/>
              <w:rPr>
                <w:sz w:val="20"/>
              </w:rPr>
            </w:pPr>
            <w:r w:rsidRPr="007D6335">
              <w:rPr>
                <w:sz w:val="20"/>
              </w:rPr>
              <w:t xml:space="preserve">   571</w:t>
            </w:r>
          </w:p>
          <w:p w:rsidR="006D57BB" w:rsidRPr="007D6335" w:rsidRDefault="006D57BB" w:rsidP="004E21B0">
            <w:pPr>
              <w:pStyle w:val="BodyText"/>
              <w:ind w:left="-18" w:right="-18"/>
              <w:jc w:val="center"/>
              <w:rPr>
                <w:sz w:val="20"/>
              </w:rPr>
            </w:pPr>
          </w:p>
          <w:p w:rsidR="006D57BB" w:rsidRPr="007D6335" w:rsidRDefault="006D57BB" w:rsidP="004E21B0">
            <w:pPr>
              <w:pStyle w:val="BodyText"/>
              <w:ind w:left="-18" w:right="-18"/>
              <w:jc w:val="center"/>
              <w:rPr>
                <w:sz w:val="20"/>
              </w:rPr>
            </w:pPr>
            <w:r>
              <w:rPr>
                <w:sz w:val="20"/>
              </w:rPr>
              <w:t xml:space="preserve">   </w:t>
            </w:r>
            <w:r w:rsidRPr="007D6335">
              <w:rPr>
                <w:sz w:val="20"/>
              </w:rPr>
              <w:t>(</w:t>
            </w:r>
            <w:r>
              <w:rPr>
                <w:sz w:val="20"/>
              </w:rPr>
              <w:t>445</w:t>
            </w:r>
            <w:r w:rsidRPr="007D6335">
              <w:rPr>
                <w:sz w:val="20"/>
              </w:rPr>
              <w:t>)</w:t>
            </w:r>
          </w:p>
        </w:tc>
      </w:tr>
    </w:tbl>
    <w:p w:rsidR="006D57BB" w:rsidRDefault="006D57BB" w:rsidP="006D57BB">
      <w:pPr>
        <w:pStyle w:val="BodyText"/>
        <w:ind w:left="810" w:right="-450"/>
        <w:rPr>
          <w:b/>
          <w:sz w:val="20"/>
        </w:rPr>
      </w:pPr>
    </w:p>
    <w:p w:rsidR="006D57BB" w:rsidRDefault="006D57BB" w:rsidP="006D57BB">
      <w:pPr>
        <w:pStyle w:val="BodyText"/>
        <w:ind w:left="810" w:right="-450"/>
        <w:rPr>
          <w:b/>
          <w:sz w:val="20"/>
        </w:rPr>
      </w:pPr>
    </w:p>
    <w:p w:rsidR="00B92A1E" w:rsidRPr="00A1675B" w:rsidRDefault="00B92A1E" w:rsidP="002E2A4C">
      <w:pPr>
        <w:pStyle w:val="BodyText"/>
        <w:numPr>
          <w:ilvl w:val="0"/>
          <w:numId w:val="26"/>
        </w:numPr>
        <w:ind w:left="1350" w:right="-450" w:hanging="540"/>
        <w:rPr>
          <w:b/>
          <w:sz w:val="20"/>
        </w:rPr>
      </w:pPr>
      <w:r>
        <w:rPr>
          <w:b/>
          <w:sz w:val="20"/>
        </w:rPr>
        <w:t>Discontinued operation</w:t>
      </w:r>
    </w:p>
    <w:p w:rsidR="00B92A1E" w:rsidRDefault="00B92A1E" w:rsidP="00B92A1E">
      <w:pPr>
        <w:pStyle w:val="BodyText"/>
        <w:ind w:left="687" w:right="-450" w:hanging="687"/>
        <w:rPr>
          <w:sz w:val="20"/>
        </w:rPr>
      </w:pPr>
    </w:p>
    <w:tbl>
      <w:tblPr>
        <w:tblW w:w="9090" w:type="dxa"/>
        <w:tblInd w:w="828" w:type="dxa"/>
        <w:tblLayout w:type="fixed"/>
        <w:tblLook w:val="0000"/>
      </w:tblPr>
      <w:tblGrid>
        <w:gridCol w:w="540"/>
        <w:gridCol w:w="2430"/>
        <w:gridCol w:w="1170"/>
        <w:gridCol w:w="1890"/>
        <w:gridCol w:w="1170"/>
        <w:gridCol w:w="1890"/>
      </w:tblGrid>
      <w:tr w:rsidR="00B92A1E" w:rsidTr="00B92A1E">
        <w:trPr>
          <w:cantSplit/>
        </w:trPr>
        <w:tc>
          <w:tcPr>
            <w:tcW w:w="540" w:type="dxa"/>
          </w:tcPr>
          <w:p w:rsidR="00B92A1E" w:rsidRDefault="00B92A1E" w:rsidP="00B92A1E">
            <w:pPr>
              <w:pStyle w:val="BodyText"/>
              <w:ind w:right="-450" w:hanging="1800"/>
              <w:rPr>
                <w:sz w:val="20"/>
              </w:rPr>
            </w:pPr>
          </w:p>
        </w:tc>
        <w:tc>
          <w:tcPr>
            <w:tcW w:w="2430" w:type="dxa"/>
          </w:tcPr>
          <w:p w:rsidR="00B92A1E" w:rsidRDefault="00B92A1E" w:rsidP="00B92A1E">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B92A1E" w:rsidRDefault="00B92A1E" w:rsidP="00B92A1E">
            <w:pPr>
              <w:pStyle w:val="BodyText"/>
              <w:tabs>
                <w:tab w:val="left" w:pos="432"/>
                <w:tab w:val="left" w:pos="630"/>
                <w:tab w:val="left" w:pos="702"/>
                <w:tab w:val="left" w:pos="1080"/>
              </w:tabs>
              <w:ind w:left="162" w:right="162" w:hanging="162"/>
              <w:jc w:val="center"/>
              <w:rPr>
                <w:b/>
                <w:sz w:val="18"/>
              </w:rPr>
            </w:pPr>
            <w:r>
              <w:rPr>
                <w:b/>
                <w:sz w:val="18"/>
              </w:rPr>
              <w:t xml:space="preserve">   INDIVIDUAL QUARTER</w:t>
            </w:r>
          </w:p>
        </w:tc>
        <w:tc>
          <w:tcPr>
            <w:tcW w:w="3060" w:type="dxa"/>
            <w:gridSpan w:val="2"/>
            <w:tcBorders>
              <w:top w:val="single" w:sz="4" w:space="0" w:color="auto"/>
              <w:left w:val="nil"/>
              <w:right w:val="single" w:sz="4" w:space="0" w:color="auto"/>
            </w:tcBorders>
          </w:tcPr>
          <w:p w:rsidR="00B92A1E" w:rsidRDefault="00B92A1E" w:rsidP="00B92A1E">
            <w:pPr>
              <w:pStyle w:val="BodyText"/>
              <w:ind w:right="-108" w:hanging="108"/>
              <w:jc w:val="center"/>
              <w:rPr>
                <w:b/>
                <w:sz w:val="18"/>
              </w:rPr>
            </w:pPr>
            <w:r>
              <w:rPr>
                <w:b/>
                <w:sz w:val="18"/>
              </w:rPr>
              <w:t>CUMULATIVE QUARTER</w:t>
            </w:r>
          </w:p>
        </w:tc>
      </w:tr>
      <w:tr w:rsidR="00B92A1E" w:rsidRPr="00A366C5" w:rsidTr="00B92A1E">
        <w:tc>
          <w:tcPr>
            <w:tcW w:w="540" w:type="dxa"/>
          </w:tcPr>
          <w:p w:rsidR="00B92A1E" w:rsidRPr="0024709B" w:rsidRDefault="00B92A1E" w:rsidP="00B92A1E">
            <w:pPr>
              <w:pStyle w:val="BodyText"/>
              <w:ind w:left="-108" w:right="-450" w:hanging="1800"/>
              <w:rPr>
                <w:b/>
                <w:sz w:val="20"/>
              </w:rPr>
            </w:pPr>
          </w:p>
        </w:tc>
        <w:tc>
          <w:tcPr>
            <w:tcW w:w="2430" w:type="dxa"/>
          </w:tcPr>
          <w:p w:rsidR="00B92A1E" w:rsidRPr="0024709B" w:rsidRDefault="00B92A1E" w:rsidP="00B92A1E">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CURRENT</w:t>
            </w:r>
          </w:p>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YEAR</w:t>
            </w:r>
          </w:p>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QUARTER</w:t>
            </w:r>
          </w:p>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3</w:t>
            </w:r>
            <w:r>
              <w:rPr>
                <w:b/>
                <w:sz w:val="18"/>
              </w:rPr>
              <w:t>0</w:t>
            </w:r>
            <w:r w:rsidRPr="0024709B">
              <w:rPr>
                <w:b/>
                <w:sz w:val="18"/>
              </w:rPr>
              <w:t>/</w:t>
            </w:r>
            <w:r>
              <w:rPr>
                <w:b/>
                <w:sz w:val="18"/>
              </w:rPr>
              <w:t>6</w:t>
            </w:r>
            <w:r w:rsidRPr="0024709B">
              <w:rPr>
                <w:b/>
                <w:sz w:val="18"/>
              </w:rPr>
              <w:t>/201</w:t>
            </w:r>
            <w:r>
              <w:rPr>
                <w:b/>
                <w:sz w:val="18"/>
              </w:rPr>
              <w:t>2</w:t>
            </w:r>
          </w:p>
          <w:p w:rsidR="00B92A1E" w:rsidRPr="0024709B" w:rsidRDefault="00B92A1E" w:rsidP="00B92A1E">
            <w:pPr>
              <w:pStyle w:val="BodyText"/>
              <w:tabs>
                <w:tab w:val="left" w:pos="360"/>
                <w:tab w:val="left" w:pos="540"/>
                <w:tab w:val="left" w:pos="630"/>
                <w:tab w:val="left" w:pos="1080"/>
              </w:tabs>
              <w:ind w:left="-18" w:right="-1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PRECEDING YEAR</w:t>
            </w:r>
          </w:p>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CORRESPONDING</w:t>
            </w:r>
          </w:p>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QUARTER</w:t>
            </w:r>
          </w:p>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3</w:t>
            </w:r>
            <w:r>
              <w:rPr>
                <w:b/>
                <w:sz w:val="18"/>
              </w:rPr>
              <w:t>0</w:t>
            </w:r>
            <w:r w:rsidRPr="0024709B">
              <w:rPr>
                <w:b/>
                <w:sz w:val="18"/>
              </w:rPr>
              <w:t>/</w:t>
            </w:r>
            <w:r>
              <w:rPr>
                <w:b/>
                <w:sz w:val="18"/>
              </w:rPr>
              <w:t>6/2011</w:t>
            </w:r>
          </w:p>
          <w:p w:rsidR="00B92A1E" w:rsidRPr="0024709B" w:rsidRDefault="00B92A1E" w:rsidP="00B92A1E">
            <w:pPr>
              <w:pStyle w:val="BodyText"/>
              <w:tabs>
                <w:tab w:val="left" w:pos="360"/>
                <w:tab w:val="left" w:pos="540"/>
                <w:tab w:val="left" w:pos="630"/>
                <w:tab w:val="left" w:pos="1080"/>
              </w:tabs>
              <w:ind w:left="-108" w:right="-108"/>
              <w:jc w:val="center"/>
              <w:rPr>
                <w:b/>
                <w:sz w:val="18"/>
              </w:rPr>
            </w:pPr>
            <w:r w:rsidRPr="0024709B">
              <w:rPr>
                <w:b/>
                <w:sz w:val="18"/>
              </w:rPr>
              <w:t>RM’000</w:t>
            </w:r>
          </w:p>
        </w:tc>
        <w:tc>
          <w:tcPr>
            <w:tcW w:w="1170" w:type="dxa"/>
            <w:tcBorders>
              <w:top w:val="single" w:sz="4" w:space="0" w:color="auto"/>
              <w:left w:val="nil"/>
              <w:bottom w:val="single" w:sz="4" w:space="0" w:color="auto"/>
              <w:right w:val="single" w:sz="4" w:space="0" w:color="auto"/>
            </w:tcBorders>
          </w:tcPr>
          <w:p w:rsidR="00B92A1E" w:rsidRPr="0024709B" w:rsidRDefault="00B92A1E" w:rsidP="00B92A1E">
            <w:pPr>
              <w:pStyle w:val="BodyText"/>
              <w:tabs>
                <w:tab w:val="left" w:pos="360"/>
                <w:tab w:val="left" w:pos="540"/>
                <w:tab w:val="left" w:pos="630"/>
                <w:tab w:val="left" w:pos="1080"/>
              </w:tabs>
              <w:ind w:right="-108" w:hanging="108"/>
              <w:jc w:val="center"/>
              <w:rPr>
                <w:b/>
                <w:sz w:val="18"/>
              </w:rPr>
            </w:pPr>
            <w:r w:rsidRPr="0024709B">
              <w:rPr>
                <w:b/>
                <w:sz w:val="18"/>
              </w:rPr>
              <w:t>CURRENT</w:t>
            </w:r>
          </w:p>
          <w:p w:rsidR="00B92A1E" w:rsidRPr="0024709B" w:rsidRDefault="00B92A1E" w:rsidP="00B92A1E">
            <w:pPr>
              <w:pStyle w:val="BodyText"/>
              <w:tabs>
                <w:tab w:val="left" w:pos="360"/>
                <w:tab w:val="left" w:pos="540"/>
                <w:tab w:val="left" w:pos="630"/>
                <w:tab w:val="left" w:pos="1080"/>
              </w:tabs>
              <w:ind w:right="-108" w:hanging="108"/>
              <w:jc w:val="center"/>
              <w:rPr>
                <w:b/>
                <w:sz w:val="18"/>
              </w:rPr>
            </w:pPr>
            <w:r w:rsidRPr="0024709B">
              <w:rPr>
                <w:b/>
                <w:sz w:val="18"/>
              </w:rPr>
              <w:t>YEAR TO DATE</w:t>
            </w:r>
          </w:p>
          <w:p w:rsidR="00B92A1E" w:rsidRPr="0024709B" w:rsidRDefault="00B92A1E" w:rsidP="00B92A1E">
            <w:pPr>
              <w:pStyle w:val="BodyText"/>
              <w:tabs>
                <w:tab w:val="left" w:pos="360"/>
                <w:tab w:val="left" w:pos="540"/>
                <w:tab w:val="left" w:pos="630"/>
                <w:tab w:val="left" w:pos="1080"/>
              </w:tabs>
              <w:ind w:right="-108" w:hanging="108"/>
              <w:jc w:val="center"/>
              <w:rPr>
                <w:b/>
                <w:sz w:val="18"/>
              </w:rPr>
            </w:pPr>
            <w:r w:rsidRPr="0024709B">
              <w:rPr>
                <w:b/>
                <w:sz w:val="18"/>
              </w:rPr>
              <w:t>3</w:t>
            </w:r>
            <w:r>
              <w:rPr>
                <w:b/>
                <w:sz w:val="18"/>
              </w:rPr>
              <w:t>0</w:t>
            </w:r>
            <w:r w:rsidRPr="0024709B">
              <w:rPr>
                <w:b/>
                <w:sz w:val="18"/>
              </w:rPr>
              <w:t>/</w:t>
            </w:r>
            <w:r>
              <w:rPr>
                <w:b/>
                <w:sz w:val="18"/>
              </w:rPr>
              <w:t>6/2012</w:t>
            </w:r>
          </w:p>
          <w:p w:rsidR="00B92A1E" w:rsidRPr="0024709B" w:rsidRDefault="00B92A1E" w:rsidP="00B92A1E">
            <w:pPr>
              <w:pStyle w:val="BodyText"/>
              <w:tabs>
                <w:tab w:val="left" w:pos="360"/>
                <w:tab w:val="left" w:pos="540"/>
                <w:tab w:val="left" w:pos="630"/>
                <w:tab w:val="left" w:pos="1080"/>
              </w:tabs>
              <w:ind w:right="-108" w:hanging="108"/>
              <w:jc w:val="center"/>
              <w:rPr>
                <w:b/>
                <w:sz w:val="18"/>
              </w:rPr>
            </w:pPr>
            <w:r w:rsidRPr="0024709B">
              <w:rPr>
                <w:b/>
                <w:sz w:val="18"/>
              </w:rPr>
              <w:t>RM’000</w:t>
            </w:r>
          </w:p>
        </w:tc>
        <w:tc>
          <w:tcPr>
            <w:tcW w:w="1890" w:type="dxa"/>
            <w:tcBorders>
              <w:top w:val="single" w:sz="4" w:space="0" w:color="auto"/>
              <w:left w:val="nil"/>
              <w:bottom w:val="single" w:sz="4" w:space="0" w:color="auto"/>
              <w:right w:val="single" w:sz="4" w:space="0" w:color="auto"/>
            </w:tcBorders>
          </w:tcPr>
          <w:p w:rsidR="00B92A1E" w:rsidRPr="00A366C5" w:rsidRDefault="00B92A1E" w:rsidP="00B92A1E">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92A1E" w:rsidRPr="00A366C5" w:rsidRDefault="00B92A1E" w:rsidP="00B92A1E">
            <w:pPr>
              <w:pStyle w:val="BodyText"/>
              <w:tabs>
                <w:tab w:val="left" w:pos="360"/>
                <w:tab w:val="left" w:pos="540"/>
                <w:tab w:val="left" w:pos="630"/>
                <w:tab w:val="left" w:pos="1080"/>
              </w:tabs>
              <w:ind w:right="-108" w:hanging="108"/>
              <w:jc w:val="center"/>
              <w:rPr>
                <w:b/>
                <w:sz w:val="18"/>
              </w:rPr>
            </w:pPr>
            <w:r w:rsidRPr="00A366C5">
              <w:rPr>
                <w:b/>
                <w:sz w:val="18"/>
              </w:rPr>
              <w:t>CORRESPONDING</w:t>
            </w:r>
          </w:p>
          <w:p w:rsidR="00B92A1E" w:rsidRPr="00A366C5" w:rsidRDefault="00B92A1E" w:rsidP="00B92A1E">
            <w:pPr>
              <w:pStyle w:val="BodyText"/>
              <w:tabs>
                <w:tab w:val="left" w:pos="360"/>
                <w:tab w:val="left" w:pos="540"/>
                <w:tab w:val="left" w:pos="630"/>
                <w:tab w:val="left" w:pos="1080"/>
              </w:tabs>
              <w:ind w:right="-108" w:hanging="108"/>
              <w:jc w:val="center"/>
              <w:rPr>
                <w:b/>
                <w:sz w:val="18"/>
              </w:rPr>
            </w:pPr>
            <w:r w:rsidRPr="00A366C5">
              <w:rPr>
                <w:b/>
                <w:sz w:val="18"/>
              </w:rPr>
              <w:t>PERIOD</w:t>
            </w:r>
          </w:p>
          <w:p w:rsidR="00B92A1E" w:rsidRPr="00A366C5" w:rsidRDefault="00B92A1E" w:rsidP="00B92A1E">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0</w:t>
            </w:r>
            <w:r w:rsidRPr="00A366C5">
              <w:rPr>
                <w:b/>
                <w:sz w:val="18"/>
              </w:rPr>
              <w:t>/</w:t>
            </w:r>
            <w:r>
              <w:rPr>
                <w:b/>
                <w:sz w:val="18"/>
              </w:rPr>
              <w:t>6/2011</w:t>
            </w:r>
          </w:p>
          <w:p w:rsidR="00B92A1E" w:rsidRPr="00A366C5" w:rsidRDefault="00B92A1E" w:rsidP="00B92A1E">
            <w:pPr>
              <w:pStyle w:val="BodyText"/>
              <w:tabs>
                <w:tab w:val="left" w:pos="360"/>
                <w:tab w:val="left" w:pos="540"/>
                <w:tab w:val="left" w:pos="702"/>
                <w:tab w:val="left" w:pos="1080"/>
              </w:tabs>
              <w:ind w:right="-108" w:hanging="108"/>
              <w:jc w:val="center"/>
              <w:rPr>
                <w:b/>
                <w:sz w:val="18"/>
              </w:rPr>
            </w:pPr>
            <w:r w:rsidRPr="00A366C5">
              <w:rPr>
                <w:b/>
                <w:sz w:val="18"/>
              </w:rPr>
              <w:t>RM’000</w:t>
            </w:r>
          </w:p>
        </w:tc>
      </w:tr>
      <w:tr w:rsidR="00B92A1E" w:rsidTr="00B92A1E">
        <w:tc>
          <w:tcPr>
            <w:tcW w:w="540" w:type="dxa"/>
            <w:tcBorders>
              <w:left w:val="nil"/>
            </w:tcBorders>
          </w:tcPr>
          <w:p w:rsidR="00B92A1E" w:rsidRDefault="00B92A1E" w:rsidP="00B92A1E">
            <w:pPr>
              <w:pStyle w:val="BodyText"/>
              <w:ind w:hanging="18"/>
              <w:jc w:val="left"/>
              <w:rPr>
                <w:sz w:val="20"/>
              </w:rPr>
            </w:pPr>
          </w:p>
          <w:p w:rsidR="00B92A1E" w:rsidRDefault="00B92A1E" w:rsidP="00B92A1E">
            <w:pPr>
              <w:pStyle w:val="BodyText"/>
              <w:ind w:hanging="18"/>
              <w:jc w:val="left"/>
              <w:rPr>
                <w:sz w:val="20"/>
              </w:rPr>
            </w:pPr>
            <w:r>
              <w:rPr>
                <w:sz w:val="20"/>
              </w:rPr>
              <w:t>(a)</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p>
          <w:p w:rsidR="00B92A1E" w:rsidRPr="00A366C5" w:rsidRDefault="00B92A1E" w:rsidP="00B92A1E">
            <w:pPr>
              <w:pStyle w:val="BodyText"/>
              <w:ind w:hanging="18"/>
              <w:jc w:val="left"/>
              <w:rPr>
                <w:sz w:val="20"/>
              </w:rPr>
            </w:pPr>
            <w:r>
              <w:rPr>
                <w:sz w:val="20"/>
              </w:rPr>
              <w:t>I</w:t>
            </w:r>
            <w:r w:rsidRPr="00A54138">
              <w:rPr>
                <w:sz w:val="20"/>
              </w:rPr>
              <w:t>nterest income</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w:t>
            </w:r>
            <w:r>
              <w:rPr>
                <w:sz w:val="20"/>
              </w:rPr>
              <w:t>1,070</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w:t>
            </w:r>
            <w:r>
              <w:rPr>
                <w:sz w:val="20"/>
              </w:rPr>
              <w:t>1,044)</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w:t>
            </w:r>
            <w:r>
              <w:rPr>
                <w:sz w:val="20"/>
              </w:rPr>
              <w:t>2</w:t>
            </w:r>
            <w:r w:rsidRPr="007D6335">
              <w:rPr>
                <w:sz w:val="20"/>
              </w:rPr>
              <w:t>,</w:t>
            </w:r>
            <w:r>
              <w:rPr>
                <w:sz w:val="20"/>
              </w:rPr>
              <w:t>256</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sidRPr="007D6335">
              <w:rPr>
                <w:sz w:val="20"/>
              </w:rPr>
              <w:t>(</w:t>
            </w:r>
            <w:r>
              <w:rPr>
                <w:sz w:val="20"/>
              </w:rPr>
              <w:t>1,967</w:t>
            </w:r>
            <w:r w:rsidRPr="007D6335">
              <w:rPr>
                <w:sz w:val="20"/>
              </w:rPr>
              <w:t>)</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(b)</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F</w:t>
            </w:r>
            <w:r w:rsidRPr="00A54138">
              <w:rPr>
                <w:sz w:val="20"/>
              </w:rPr>
              <w:t>oreign exchange gain</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Pr>
                <w:sz w:val="20"/>
              </w:rPr>
              <w:t xml:space="preserve">     </w:t>
            </w:r>
            <w:r w:rsidRPr="007D6335">
              <w:rPr>
                <w:sz w:val="20"/>
              </w:rPr>
              <w:t>(</w:t>
            </w:r>
            <w:r>
              <w:rPr>
                <w:sz w:val="20"/>
              </w:rPr>
              <w:t>59</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Pr>
                <w:sz w:val="20"/>
              </w:rPr>
              <w:t xml:space="preserve">     </w:t>
            </w:r>
            <w:r w:rsidRPr="007D6335">
              <w:rPr>
                <w:sz w:val="20"/>
              </w:rPr>
              <w:t>(</w:t>
            </w:r>
            <w:r>
              <w:rPr>
                <w:sz w:val="20"/>
              </w:rPr>
              <w:t>11</w:t>
            </w:r>
            <w:r w:rsidRPr="007D6335">
              <w:rPr>
                <w:sz w:val="20"/>
              </w:rPr>
              <w:t>)</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Pr>
                <w:sz w:val="20"/>
              </w:rPr>
              <w:t xml:space="preserve">     42</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Pr>
                <w:sz w:val="20"/>
              </w:rPr>
              <w:t xml:space="preserve">     74</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(c)</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Net (gain)/loss on disposal of property, plant and equipment</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w:t>
            </w:r>
            <w:r w:rsidRPr="007D6335">
              <w:rPr>
                <w:sz w:val="20"/>
              </w:rPr>
              <w:t>(</w:t>
            </w:r>
            <w:r>
              <w:rPr>
                <w:sz w:val="20"/>
              </w:rPr>
              <w:t>244</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w:t>
            </w:r>
            <w:r w:rsidRPr="007D6335">
              <w:rPr>
                <w:sz w:val="20"/>
              </w:rPr>
              <w:t xml:space="preserve">     </w:t>
            </w:r>
            <w:r>
              <w:rPr>
                <w:sz w:val="20"/>
              </w:rPr>
              <w:t>5</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w:t>
            </w:r>
            <w:r w:rsidRPr="007D6335">
              <w:rPr>
                <w:sz w:val="20"/>
              </w:rPr>
              <w:t>(</w:t>
            </w:r>
            <w:r>
              <w:rPr>
                <w:sz w:val="20"/>
              </w:rPr>
              <w:t>237</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w:t>
            </w:r>
            <w:r w:rsidRPr="007D6335">
              <w:rPr>
                <w:sz w:val="20"/>
              </w:rPr>
              <w:t xml:space="preserve">   </w:t>
            </w:r>
            <w:r>
              <w:rPr>
                <w:sz w:val="20"/>
              </w:rPr>
              <w:t>8</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(d)</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 xml:space="preserve">Other income including investment income </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4,597</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3,748</w:t>
            </w:r>
            <w:r w:rsidRPr="007D6335">
              <w:rPr>
                <w:sz w:val="20"/>
              </w:rPr>
              <w:t>)</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8,440</w:t>
            </w:r>
            <w:r w:rsidRPr="007D6335">
              <w:rPr>
                <w:sz w:val="20"/>
              </w:rPr>
              <w:t>)</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7,473</w:t>
            </w:r>
            <w:r w:rsidRPr="007D6335">
              <w:rPr>
                <w:sz w:val="20"/>
              </w:rPr>
              <w:t>)</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(f)</w:t>
            </w:r>
          </w:p>
        </w:tc>
        <w:tc>
          <w:tcPr>
            <w:tcW w:w="2430" w:type="dxa"/>
            <w:tcBorders>
              <w:right w:val="single" w:sz="4" w:space="0" w:color="auto"/>
            </w:tcBorders>
            <w:shd w:val="clear" w:color="auto" w:fill="auto"/>
          </w:tcPr>
          <w:p w:rsidR="00B92A1E" w:rsidRPr="00A54138" w:rsidRDefault="00B92A1E" w:rsidP="00B92A1E">
            <w:pPr>
              <w:pStyle w:val="BodyText"/>
              <w:ind w:hanging="18"/>
              <w:jc w:val="left"/>
              <w:rPr>
                <w:sz w:val="20"/>
              </w:rPr>
            </w:pPr>
            <w:r>
              <w:rPr>
                <w:sz w:val="20"/>
              </w:rPr>
              <w:t>Interest expense</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8,550</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Pr>
                <w:sz w:val="20"/>
              </w:rPr>
              <w:t xml:space="preserve"> 8,221</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17,162</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r>
              <w:rPr>
                <w:sz w:val="20"/>
              </w:rPr>
              <w:t>16</w:t>
            </w:r>
            <w:r w:rsidRPr="007D6335">
              <w:rPr>
                <w:sz w:val="20"/>
              </w:rPr>
              <w:t>,</w:t>
            </w:r>
            <w:r>
              <w:rPr>
                <w:sz w:val="20"/>
              </w:rPr>
              <w:t>201</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(g)</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D</w:t>
            </w:r>
            <w:r w:rsidRPr="00A54138">
              <w:rPr>
                <w:sz w:val="20"/>
              </w:rPr>
              <w:t>epreciation and amortization</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1,775</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2,028</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3,592</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 xml:space="preserve">  4,125</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(h)</w:t>
            </w:r>
          </w:p>
        </w:tc>
        <w:tc>
          <w:tcPr>
            <w:tcW w:w="2430" w:type="dxa"/>
            <w:tcBorders>
              <w:right w:val="single" w:sz="4" w:space="0" w:color="auto"/>
            </w:tcBorders>
            <w:shd w:val="clear" w:color="auto" w:fill="auto"/>
          </w:tcPr>
          <w:p w:rsidR="00B92A1E" w:rsidRDefault="00B92A1E" w:rsidP="00B92A1E">
            <w:pPr>
              <w:pStyle w:val="BodyText"/>
              <w:ind w:hanging="18"/>
              <w:jc w:val="left"/>
              <w:rPr>
                <w:sz w:val="20"/>
              </w:rPr>
            </w:pPr>
            <w:r>
              <w:rPr>
                <w:sz w:val="20"/>
              </w:rPr>
              <w:t>Allowance for impairment of trade and other receivables</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sidRPr="007D6335">
              <w:rPr>
                <w:sz w:val="20"/>
              </w:rPr>
              <w:t xml:space="preserve">   </w:t>
            </w:r>
            <w:r>
              <w:rPr>
                <w:sz w:val="20"/>
              </w:rPr>
              <w:t>10,524</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12,228</w:t>
            </w:r>
          </w:p>
        </w:tc>
        <w:tc>
          <w:tcPr>
            <w:tcW w:w="117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rPr>
                <w:sz w:val="20"/>
              </w:rPr>
            </w:pPr>
            <w:r>
              <w:rPr>
                <w:sz w:val="20"/>
              </w:rPr>
              <w:t xml:space="preserve">  </w:t>
            </w:r>
            <w:r w:rsidRPr="007D6335">
              <w:rPr>
                <w:sz w:val="20"/>
              </w:rPr>
              <w:t xml:space="preserve">   </w:t>
            </w:r>
            <w:r>
              <w:rPr>
                <w:sz w:val="20"/>
              </w:rPr>
              <w:t>21,003</w:t>
            </w:r>
          </w:p>
        </w:tc>
        <w:tc>
          <w:tcPr>
            <w:tcW w:w="1890" w:type="dxa"/>
            <w:tcBorders>
              <w:left w:val="single" w:sz="4" w:space="0" w:color="auto"/>
              <w:right w:val="single" w:sz="4" w:space="0" w:color="auto"/>
            </w:tcBorders>
            <w:shd w:val="clear" w:color="auto" w:fill="auto"/>
          </w:tcPr>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p>
          <w:p w:rsidR="00B92A1E" w:rsidRPr="007D6335" w:rsidRDefault="00B92A1E" w:rsidP="00B92A1E">
            <w:pPr>
              <w:pStyle w:val="BodyText"/>
              <w:ind w:left="-18" w:right="-18"/>
              <w:jc w:val="center"/>
              <w:rPr>
                <w:sz w:val="20"/>
              </w:rPr>
            </w:pPr>
            <w:r>
              <w:rPr>
                <w:sz w:val="20"/>
              </w:rPr>
              <w:t>21,747</w:t>
            </w:r>
          </w:p>
        </w:tc>
      </w:tr>
      <w:tr w:rsidR="00B92A1E" w:rsidTr="00B92A1E">
        <w:tc>
          <w:tcPr>
            <w:tcW w:w="540" w:type="dxa"/>
            <w:tcBorders>
              <w:left w:val="nil"/>
            </w:tcBorders>
          </w:tcPr>
          <w:p w:rsidR="00B92A1E" w:rsidRDefault="00B92A1E" w:rsidP="00B92A1E">
            <w:pPr>
              <w:pStyle w:val="BodyText"/>
              <w:ind w:hanging="18"/>
              <w:jc w:val="left"/>
              <w:rPr>
                <w:sz w:val="20"/>
              </w:rPr>
            </w:pPr>
            <w:r>
              <w:rPr>
                <w:sz w:val="20"/>
              </w:rPr>
              <w:t>(</w:t>
            </w:r>
            <w:proofErr w:type="spellStart"/>
            <w:r>
              <w:rPr>
                <w:sz w:val="20"/>
              </w:rPr>
              <w:t>i</w:t>
            </w:r>
            <w:proofErr w:type="spellEnd"/>
            <w:r>
              <w:rPr>
                <w:sz w:val="20"/>
              </w:rPr>
              <w:t>)</w:t>
            </w:r>
          </w:p>
        </w:tc>
        <w:tc>
          <w:tcPr>
            <w:tcW w:w="2430" w:type="dxa"/>
            <w:tcBorders>
              <w:right w:val="single" w:sz="4" w:space="0" w:color="auto"/>
            </w:tcBorders>
            <w:shd w:val="clear" w:color="auto" w:fill="auto"/>
          </w:tcPr>
          <w:p w:rsidR="00B92A1E" w:rsidRPr="00A366C5" w:rsidRDefault="00B92A1E" w:rsidP="00B92A1E">
            <w:pPr>
              <w:pStyle w:val="BodyText"/>
              <w:ind w:hanging="18"/>
              <w:jc w:val="left"/>
              <w:rPr>
                <w:sz w:val="20"/>
              </w:rPr>
            </w:pPr>
            <w:r>
              <w:rPr>
                <w:sz w:val="20"/>
              </w:rPr>
              <w:t>Write (back)/down of inventories</w:t>
            </w:r>
            <w:r w:rsidRPr="00A54138">
              <w:rPr>
                <w:sz w:val="20"/>
              </w:rPr>
              <w:t xml:space="preserve"> </w:t>
            </w:r>
          </w:p>
        </w:tc>
        <w:tc>
          <w:tcPr>
            <w:tcW w:w="117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r>
              <w:rPr>
                <w:sz w:val="20"/>
              </w:rPr>
              <w:t xml:space="preserve">  </w:t>
            </w:r>
          </w:p>
          <w:p w:rsidR="00B92A1E" w:rsidRPr="007D6335" w:rsidRDefault="00B92A1E" w:rsidP="00B92A1E">
            <w:pPr>
              <w:pStyle w:val="BodyText"/>
              <w:ind w:left="-18" w:right="-18"/>
              <w:jc w:val="center"/>
              <w:rPr>
                <w:sz w:val="20"/>
              </w:rPr>
            </w:pPr>
            <w:r>
              <w:rPr>
                <w:sz w:val="20"/>
              </w:rPr>
              <w:t xml:space="preserve">    (10)</w:t>
            </w:r>
          </w:p>
        </w:tc>
        <w:tc>
          <w:tcPr>
            <w:tcW w:w="189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r>
              <w:rPr>
                <w:sz w:val="20"/>
              </w:rPr>
              <w:t xml:space="preserve">      </w:t>
            </w:r>
          </w:p>
          <w:p w:rsidR="00B92A1E" w:rsidRPr="007D6335" w:rsidRDefault="00B92A1E" w:rsidP="00B92A1E">
            <w:pPr>
              <w:pStyle w:val="BodyText"/>
              <w:ind w:left="-18" w:right="-18"/>
              <w:jc w:val="center"/>
              <w:rPr>
                <w:sz w:val="20"/>
              </w:rPr>
            </w:pPr>
            <w:r>
              <w:rPr>
                <w:sz w:val="20"/>
              </w:rPr>
              <w:t xml:space="preserve">      </w:t>
            </w:r>
            <w:r w:rsidRPr="007D6335">
              <w:rPr>
                <w:sz w:val="20"/>
              </w:rPr>
              <w:t xml:space="preserve"> </w:t>
            </w:r>
            <w:r>
              <w:rPr>
                <w:sz w:val="20"/>
              </w:rPr>
              <w:t>(6)</w:t>
            </w:r>
          </w:p>
        </w:tc>
        <w:tc>
          <w:tcPr>
            <w:tcW w:w="117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r w:rsidRPr="007D6335">
              <w:rPr>
                <w:sz w:val="20"/>
              </w:rPr>
              <w:t xml:space="preserve">  </w:t>
            </w:r>
          </w:p>
          <w:p w:rsidR="00B92A1E" w:rsidRPr="007D6335" w:rsidRDefault="00B92A1E" w:rsidP="00B92A1E">
            <w:pPr>
              <w:pStyle w:val="BodyText"/>
              <w:ind w:left="-18" w:right="-18"/>
              <w:jc w:val="center"/>
              <w:rPr>
                <w:sz w:val="20"/>
              </w:rPr>
            </w:pPr>
            <w:r>
              <w:rPr>
                <w:sz w:val="20"/>
              </w:rPr>
              <w:t xml:space="preserve">  </w:t>
            </w:r>
            <w:r w:rsidRPr="007D6335">
              <w:rPr>
                <w:sz w:val="20"/>
              </w:rPr>
              <w:t xml:space="preserve"> </w:t>
            </w:r>
            <w:r>
              <w:rPr>
                <w:sz w:val="20"/>
              </w:rPr>
              <w:t xml:space="preserve">     50</w:t>
            </w:r>
          </w:p>
        </w:tc>
        <w:tc>
          <w:tcPr>
            <w:tcW w:w="1890" w:type="dxa"/>
            <w:tcBorders>
              <w:left w:val="single" w:sz="4" w:space="0" w:color="auto"/>
              <w:right w:val="single" w:sz="4" w:space="0" w:color="auto"/>
            </w:tcBorders>
            <w:shd w:val="clear" w:color="auto" w:fill="auto"/>
          </w:tcPr>
          <w:p w:rsidR="00B92A1E" w:rsidRDefault="00B92A1E" w:rsidP="00B92A1E">
            <w:pPr>
              <w:pStyle w:val="BodyText"/>
              <w:ind w:left="-18" w:right="-18"/>
              <w:jc w:val="center"/>
              <w:rPr>
                <w:sz w:val="20"/>
              </w:rPr>
            </w:pPr>
            <w:r>
              <w:rPr>
                <w:sz w:val="20"/>
              </w:rPr>
              <w:t xml:space="preserve">     </w:t>
            </w:r>
          </w:p>
          <w:p w:rsidR="00B92A1E" w:rsidRPr="007D6335" w:rsidRDefault="00B92A1E" w:rsidP="00B92A1E">
            <w:pPr>
              <w:pStyle w:val="BodyText"/>
              <w:ind w:left="-18" w:right="-18"/>
              <w:jc w:val="center"/>
              <w:rPr>
                <w:sz w:val="20"/>
              </w:rPr>
            </w:pPr>
            <w:r>
              <w:rPr>
                <w:sz w:val="20"/>
              </w:rPr>
              <w:t xml:space="preserve">       (6)</w:t>
            </w:r>
          </w:p>
        </w:tc>
      </w:tr>
      <w:tr w:rsidR="00B92A1E" w:rsidRPr="00C64746" w:rsidTr="00B92A1E">
        <w:tc>
          <w:tcPr>
            <w:tcW w:w="540" w:type="dxa"/>
            <w:tcBorders>
              <w:left w:val="nil"/>
            </w:tcBorders>
          </w:tcPr>
          <w:p w:rsidR="00B92A1E" w:rsidRPr="00C64746" w:rsidRDefault="00B92A1E" w:rsidP="00B92A1E">
            <w:pPr>
              <w:pStyle w:val="BodyText"/>
              <w:ind w:hanging="18"/>
              <w:jc w:val="left"/>
              <w:rPr>
                <w:sz w:val="20"/>
              </w:rPr>
            </w:pPr>
            <w:r>
              <w:rPr>
                <w:sz w:val="20"/>
              </w:rPr>
              <w:t>(j</w:t>
            </w:r>
            <w:r w:rsidRPr="00C64746">
              <w:rPr>
                <w:sz w:val="20"/>
              </w:rPr>
              <w:t>)</w:t>
            </w:r>
          </w:p>
        </w:tc>
        <w:tc>
          <w:tcPr>
            <w:tcW w:w="2430" w:type="dxa"/>
            <w:tcBorders>
              <w:right w:val="single" w:sz="4" w:space="0" w:color="auto"/>
            </w:tcBorders>
            <w:shd w:val="clear" w:color="auto" w:fill="auto"/>
          </w:tcPr>
          <w:p w:rsidR="00B92A1E" w:rsidRPr="00C64746" w:rsidRDefault="00B92A1E" w:rsidP="00B92A1E">
            <w:pPr>
              <w:pStyle w:val="BodyText"/>
              <w:ind w:hanging="18"/>
              <w:jc w:val="left"/>
              <w:rPr>
                <w:sz w:val="20"/>
              </w:rPr>
            </w:pPr>
            <w:r w:rsidRPr="00C64746">
              <w:rPr>
                <w:sz w:val="20"/>
              </w:rPr>
              <w:t>Net fair value gain on financial instruments:</w:t>
            </w:r>
          </w:p>
          <w:p w:rsidR="00B92A1E" w:rsidRPr="00C64746" w:rsidRDefault="00B92A1E" w:rsidP="00B92A1E">
            <w:pPr>
              <w:pStyle w:val="BodyText"/>
              <w:numPr>
                <w:ilvl w:val="0"/>
                <w:numId w:val="11"/>
              </w:numPr>
              <w:ind w:left="162" w:hanging="180"/>
              <w:jc w:val="left"/>
              <w:rPr>
                <w:sz w:val="20"/>
              </w:rPr>
            </w:pPr>
            <w:r w:rsidRPr="00C64746">
              <w:rPr>
                <w:sz w:val="20"/>
              </w:rPr>
              <w:t>designated at fair value through profit or loss</w:t>
            </w:r>
          </w:p>
        </w:tc>
        <w:tc>
          <w:tcPr>
            <w:tcW w:w="1170" w:type="dxa"/>
            <w:tcBorders>
              <w:left w:val="single" w:sz="4" w:space="0" w:color="auto"/>
              <w:bottom w:val="single" w:sz="4" w:space="0" w:color="auto"/>
              <w:right w:val="single" w:sz="4" w:space="0" w:color="auto"/>
            </w:tcBorders>
            <w:shd w:val="clear" w:color="auto" w:fill="auto"/>
          </w:tcPr>
          <w:p w:rsidR="00B92A1E" w:rsidRPr="00C64746" w:rsidRDefault="00B92A1E" w:rsidP="00B92A1E">
            <w:pPr>
              <w:pStyle w:val="BodyText"/>
              <w:ind w:left="-18" w:right="-18"/>
              <w:jc w:val="center"/>
              <w:rPr>
                <w:sz w:val="20"/>
              </w:rPr>
            </w:pPr>
          </w:p>
          <w:p w:rsidR="00B92A1E" w:rsidRPr="00C64746" w:rsidRDefault="00B92A1E" w:rsidP="00B92A1E">
            <w:pPr>
              <w:pStyle w:val="BodyText"/>
              <w:ind w:left="-18" w:right="-18"/>
              <w:jc w:val="center"/>
              <w:rPr>
                <w:sz w:val="20"/>
              </w:rPr>
            </w:pPr>
          </w:p>
          <w:p w:rsidR="00B92A1E" w:rsidRPr="00C64746" w:rsidRDefault="00B92A1E" w:rsidP="00B92A1E">
            <w:pPr>
              <w:pStyle w:val="BodyText"/>
              <w:ind w:left="-18" w:right="-18" w:firstLine="180"/>
              <w:jc w:val="center"/>
              <w:rPr>
                <w:sz w:val="20"/>
              </w:rPr>
            </w:pPr>
          </w:p>
          <w:p w:rsidR="00B92A1E" w:rsidRPr="00C64746" w:rsidRDefault="00B92A1E" w:rsidP="00B92A1E">
            <w:pPr>
              <w:pStyle w:val="BodyText"/>
              <w:ind w:left="-18" w:right="-18" w:firstLine="180"/>
              <w:rPr>
                <w:sz w:val="20"/>
              </w:rPr>
            </w:pPr>
            <w:r w:rsidRPr="00C64746">
              <w:rPr>
                <w:sz w:val="20"/>
              </w:rPr>
              <w:t>(1,363)</w:t>
            </w:r>
          </w:p>
        </w:tc>
        <w:tc>
          <w:tcPr>
            <w:tcW w:w="1890" w:type="dxa"/>
            <w:tcBorders>
              <w:left w:val="single" w:sz="4" w:space="0" w:color="auto"/>
              <w:bottom w:val="single" w:sz="4" w:space="0" w:color="auto"/>
              <w:right w:val="single" w:sz="4" w:space="0" w:color="auto"/>
            </w:tcBorders>
            <w:shd w:val="clear" w:color="auto" w:fill="auto"/>
          </w:tcPr>
          <w:p w:rsidR="00B92A1E" w:rsidRPr="00C64746" w:rsidRDefault="00B92A1E" w:rsidP="00B92A1E">
            <w:pPr>
              <w:pStyle w:val="BodyText"/>
              <w:ind w:left="-18" w:right="-18"/>
              <w:jc w:val="center"/>
              <w:rPr>
                <w:sz w:val="20"/>
              </w:rPr>
            </w:pPr>
          </w:p>
          <w:p w:rsidR="00B92A1E" w:rsidRPr="00C64746" w:rsidRDefault="00B92A1E" w:rsidP="00B92A1E">
            <w:pPr>
              <w:pStyle w:val="BodyText"/>
              <w:ind w:left="-18" w:right="-18"/>
              <w:jc w:val="center"/>
              <w:rPr>
                <w:sz w:val="20"/>
              </w:rPr>
            </w:pPr>
          </w:p>
          <w:p w:rsidR="00B92A1E" w:rsidRPr="00C64746" w:rsidRDefault="00B92A1E" w:rsidP="00B92A1E">
            <w:pPr>
              <w:pStyle w:val="BodyText"/>
              <w:ind w:left="-18" w:right="-18"/>
              <w:jc w:val="center"/>
              <w:rPr>
                <w:sz w:val="20"/>
              </w:rPr>
            </w:pPr>
            <w:r w:rsidRPr="00C64746">
              <w:rPr>
                <w:sz w:val="20"/>
              </w:rPr>
              <w:t xml:space="preserve">   </w:t>
            </w:r>
          </w:p>
          <w:p w:rsidR="00B92A1E" w:rsidRPr="00C64746" w:rsidRDefault="00B92A1E" w:rsidP="00B92A1E">
            <w:pPr>
              <w:pStyle w:val="BodyText"/>
              <w:ind w:left="-18" w:right="-18"/>
              <w:jc w:val="center"/>
              <w:rPr>
                <w:sz w:val="20"/>
              </w:rPr>
            </w:pPr>
            <w:r w:rsidRPr="00C64746">
              <w:rPr>
                <w:sz w:val="20"/>
              </w:rPr>
              <w:t xml:space="preserve">  (1,320)  </w:t>
            </w:r>
          </w:p>
        </w:tc>
        <w:tc>
          <w:tcPr>
            <w:tcW w:w="1170" w:type="dxa"/>
            <w:tcBorders>
              <w:left w:val="single" w:sz="4" w:space="0" w:color="auto"/>
              <w:bottom w:val="single" w:sz="4" w:space="0" w:color="auto"/>
              <w:right w:val="single" w:sz="4" w:space="0" w:color="auto"/>
            </w:tcBorders>
            <w:shd w:val="clear" w:color="auto" w:fill="auto"/>
          </w:tcPr>
          <w:p w:rsidR="00B92A1E" w:rsidRPr="00C64746" w:rsidRDefault="00B92A1E" w:rsidP="00B92A1E">
            <w:pPr>
              <w:pStyle w:val="BodyText"/>
              <w:ind w:left="-18" w:right="-18"/>
              <w:jc w:val="center"/>
              <w:rPr>
                <w:sz w:val="20"/>
              </w:rPr>
            </w:pPr>
          </w:p>
          <w:p w:rsidR="00B92A1E" w:rsidRPr="00C64746" w:rsidRDefault="00B92A1E" w:rsidP="00B92A1E">
            <w:pPr>
              <w:pStyle w:val="BodyText"/>
              <w:ind w:left="-18" w:right="-18"/>
              <w:jc w:val="center"/>
              <w:rPr>
                <w:sz w:val="20"/>
              </w:rPr>
            </w:pPr>
          </w:p>
          <w:p w:rsidR="00B92A1E" w:rsidRPr="00C64746" w:rsidRDefault="00B92A1E" w:rsidP="00B92A1E">
            <w:pPr>
              <w:pStyle w:val="BodyText"/>
              <w:ind w:left="-18" w:right="-18"/>
              <w:jc w:val="center"/>
              <w:rPr>
                <w:sz w:val="20"/>
              </w:rPr>
            </w:pPr>
            <w:r w:rsidRPr="00C64746">
              <w:rPr>
                <w:sz w:val="20"/>
              </w:rPr>
              <w:t xml:space="preserve">  </w:t>
            </w:r>
          </w:p>
          <w:p w:rsidR="00B92A1E" w:rsidRPr="00C64746" w:rsidRDefault="00B92A1E" w:rsidP="00B92A1E">
            <w:pPr>
              <w:pStyle w:val="BodyText"/>
              <w:ind w:left="-18" w:right="-18"/>
              <w:jc w:val="center"/>
              <w:rPr>
                <w:sz w:val="20"/>
              </w:rPr>
            </w:pPr>
            <w:r w:rsidRPr="00C64746">
              <w:rPr>
                <w:sz w:val="20"/>
              </w:rPr>
              <w:t xml:space="preserve">  (3,006)  </w:t>
            </w:r>
          </w:p>
        </w:tc>
        <w:tc>
          <w:tcPr>
            <w:tcW w:w="1890" w:type="dxa"/>
            <w:tcBorders>
              <w:left w:val="single" w:sz="4" w:space="0" w:color="auto"/>
              <w:bottom w:val="single" w:sz="4" w:space="0" w:color="auto"/>
              <w:right w:val="single" w:sz="4" w:space="0" w:color="auto"/>
            </w:tcBorders>
            <w:shd w:val="clear" w:color="auto" w:fill="auto"/>
          </w:tcPr>
          <w:p w:rsidR="00B92A1E" w:rsidRPr="00C64746" w:rsidRDefault="00B92A1E" w:rsidP="00B92A1E">
            <w:pPr>
              <w:pStyle w:val="BodyText"/>
              <w:ind w:left="-18" w:right="-18"/>
              <w:jc w:val="center"/>
              <w:rPr>
                <w:sz w:val="20"/>
              </w:rPr>
            </w:pPr>
          </w:p>
          <w:p w:rsidR="00B92A1E" w:rsidRPr="00C64746" w:rsidRDefault="00B92A1E" w:rsidP="00B92A1E">
            <w:pPr>
              <w:pStyle w:val="BodyText"/>
              <w:ind w:left="-18" w:right="-18"/>
              <w:jc w:val="center"/>
              <w:rPr>
                <w:sz w:val="20"/>
              </w:rPr>
            </w:pPr>
          </w:p>
          <w:p w:rsidR="00B92A1E" w:rsidRPr="00C64746" w:rsidRDefault="00B92A1E" w:rsidP="00B92A1E">
            <w:pPr>
              <w:pStyle w:val="BodyText"/>
              <w:ind w:left="-18" w:right="-18"/>
              <w:jc w:val="center"/>
              <w:rPr>
                <w:sz w:val="20"/>
              </w:rPr>
            </w:pPr>
            <w:r w:rsidRPr="00C64746">
              <w:rPr>
                <w:sz w:val="20"/>
              </w:rPr>
              <w:t xml:space="preserve">   </w:t>
            </w:r>
          </w:p>
          <w:p w:rsidR="00B92A1E" w:rsidRPr="00C64746" w:rsidRDefault="00B92A1E" w:rsidP="00B92A1E">
            <w:pPr>
              <w:pStyle w:val="BodyText"/>
              <w:ind w:left="-18" w:right="-18"/>
              <w:jc w:val="center"/>
              <w:rPr>
                <w:sz w:val="20"/>
              </w:rPr>
            </w:pPr>
            <w:r w:rsidRPr="00C64746">
              <w:rPr>
                <w:sz w:val="20"/>
              </w:rPr>
              <w:t>(1,589)</w:t>
            </w:r>
          </w:p>
        </w:tc>
      </w:tr>
    </w:tbl>
    <w:p w:rsidR="00B92A1E" w:rsidRDefault="00B92A1E" w:rsidP="00A54138">
      <w:pPr>
        <w:pStyle w:val="BodyText"/>
        <w:ind w:left="687" w:right="-450" w:hanging="687"/>
        <w:rPr>
          <w:b/>
          <w:sz w:val="20"/>
        </w:rPr>
      </w:pPr>
    </w:p>
    <w:p w:rsidR="00384820" w:rsidRPr="00384820" w:rsidRDefault="00384820" w:rsidP="00FA5342">
      <w:pPr>
        <w:pStyle w:val="BodyText"/>
        <w:ind w:left="720" w:right="-450" w:hanging="720"/>
        <w:rPr>
          <w:sz w:val="20"/>
        </w:rPr>
      </w:pPr>
      <w:r>
        <w:rPr>
          <w:sz w:val="20"/>
        </w:rPr>
        <w:tab/>
      </w:r>
      <w:r>
        <w:rPr>
          <w:sz w:val="20"/>
        </w:rPr>
        <w:tab/>
      </w:r>
      <w:r>
        <w:rPr>
          <w:sz w:val="20"/>
        </w:rPr>
        <w:tab/>
      </w:r>
      <w:r>
        <w:rPr>
          <w:sz w:val="20"/>
        </w:rPr>
        <w:tab/>
      </w:r>
      <w:r>
        <w:rPr>
          <w:sz w:val="20"/>
        </w:rPr>
        <w:tab/>
      </w:r>
      <w:r>
        <w:rPr>
          <w:sz w:val="20"/>
        </w:rPr>
        <w:tab/>
      </w:r>
    </w:p>
    <w:p w:rsidR="0059386B" w:rsidRDefault="0059386B" w:rsidP="00FA5342">
      <w:pPr>
        <w:pStyle w:val="BodyText"/>
        <w:ind w:left="720" w:right="-450" w:hanging="720"/>
        <w:rPr>
          <w:b/>
          <w:sz w:val="20"/>
        </w:rPr>
      </w:pPr>
      <w:r w:rsidRPr="00764F09">
        <w:rPr>
          <w:b/>
          <w:sz w:val="20"/>
        </w:rPr>
        <w:t>A</w:t>
      </w:r>
      <w:r w:rsidR="00EE0622">
        <w:rPr>
          <w:b/>
          <w:sz w:val="20"/>
        </w:rPr>
        <w:t>7</w:t>
      </w:r>
      <w:r>
        <w:rPr>
          <w:b/>
          <w:sz w:val="20"/>
        </w:rPr>
        <w:tab/>
        <w:t>Changes in estimates</w:t>
      </w:r>
    </w:p>
    <w:p w:rsidR="0059386B" w:rsidRDefault="0059386B" w:rsidP="00491580">
      <w:pPr>
        <w:pStyle w:val="BodyText"/>
        <w:ind w:left="720" w:right="-450" w:hanging="1800"/>
        <w:rPr>
          <w:b/>
          <w:sz w:val="20"/>
        </w:rPr>
      </w:pPr>
    </w:p>
    <w:p w:rsidR="0059386B" w:rsidRDefault="0059386B" w:rsidP="00491580">
      <w:pPr>
        <w:pStyle w:val="BodyText"/>
        <w:ind w:left="720" w:right="-450" w:hanging="1800"/>
        <w:rPr>
          <w:sz w:val="20"/>
        </w:rPr>
      </w:pPr>
      <w:r>
        <w:rPr>
          <w:sz w:val="20"/>
        </w:rPr>
        <w:tab/>
        <w:t xml:space="preserve">There were no changes in estimates that had a material effect on the </w:t>
      </w:r>
      <w:r w:rsidR="00F512D5">
        <w:rPr>
          <w:sz w:val="20"/>
        </w:rPr>
        <w:t>results of the quarter under review.</w:t>
      </w:r>
    </w:p>
    <w:p w:rsidR="00C519DD" w:rsidRDefault="00C519DD" w:rsidP="00491580">
      <w:pPr>
        <w:pStyle w:val="BodyText"/>
        <w:ind w:left="720" w:right="-450" w:hanging="1800"/>
        <w:rPr>
          <w:sz w:val="20"/>
        </w:rPr>
      </w:pPr>
    </w:p>
    <w:p w:rsidR="005C02D7" w:rsidRDefault="005C02D7" w:rsidP="00491580">
      <w:pPr>
        <w:pStyle w:val="BodyText"/>
        <w:ind w:left="720" w:right="-450" w:hanging="1800"/>
        <w:rPr>
          <w:sz w:val="20"/>
        </w:rPr>
      </w:pPr>
    </w:p>
    <w:p w:rsidR="0059386B" w:rsidRDefault="00276675" w:rsidP="00FA5342">
      <w:pPr>
        <w:pStyle w:val="BodyText"/>
        <w:ind w:left="720" w:right="-450" w:hanging="720"/>
        <w:rPr>
          <w:b/>
          <w:sz w:val="20"/>
        </w:rPr>
      </w:pPr>
      <w:r w:rsidRPr="00764F09">
        <w:rPr>
          <w:b/>
          <w:sz w:val="20"/>
        </w:rPr>
        <w:t>A</w:t>
      </w:r>
      <w:r w:rsidR="00EE0622">
        <w:rPr>
          <w:b/>
          <w:sz w:val="20"/>
        </w:rPr>
        <w:t>8</w:t>
      </w:r>
      <w:r w:rsidR="0059386B">
        <w:rPr>
          <w:sz w:val="20"/>
        </w:rPr>
        <w:tab/>
      </w:r>
      <w:r w:rsidR="0059386B">
        <w:rPr>
          <w:b/>
          <w:sz w:val="20"/>
        </w:rPr>
        <w:t>Pre-acquisition profits</w:t>
      </w:r>
    </w:p>
    <w:p w:rsidR="0059386B" w:rsidRDefault="0059386B" w:rsidP="00FA5342">
      <w:pPr>
        <w:pStyle w:val="BodyText"/>
        <w:ind w:left="720" w:right="-450" w:hanging="720"/>
        <w:rPr>
          <w:sz w:val="20"/>
        </w:rPr>
      </w:pPr>
    </w:p>
    <w:p w:rsidR="0059386B" w:rsidRDefault="0059386B" w:rsidP="00FA5342">
      <w:pPr>
        <w:pStyle w:val="BodyText"/>
        <w:ind w:left="720" w:right="-450" w:hanging="720"/>
        <w:rPr>
          <w:sz w:val="20"/>
        </w:rPr>
      </w:pPr>
      <w:r>
        <w:rPr>
          <w:sz w:val="20"/>
        </w:rPr>
        <w:tab/>
      </w:r>
      <w:r w:rsidR="00187AC9">
        <w:rPr>
          <w:sz w:val="20"/>
        </w:rPr>
        <w:t>The above results d</w:t>
      </w:r>
      <w:r w:rsidR="00210E04">
        <w:rPr>
          <w:sz w:val="20"/>
        </w:rPr>
        <w:t>o</w:t>
      </w:r>
      <w:r w:rsidR="00187AC9">
        <w:rPr>
          <w:sz w:val="20"/>
        </w:rPr>
        <w:t xml:space="preserve"> not comprise any</w:t>
      </w:r>
      <w:r>
        <w:rPr>
          <w:sz w:val="20"/>
        </w:rPr>
        <w:t xml:space="preserve"> pre-acquisition profit.</w:t>
      </w:r>
    </w:p>
    <w:p w:rsidR="00E33B43" w:rsidRDefault="00E33B43" w:rsidP="00FA5342">
      <w:pPr>
        <w:pStyle w:val="BodyText"/>
        <w:ind w:left="720" w:right="-450" w:hanging="720"/>
        <w:rPr>
          <w:sz w:val="20"/>
        </w:rPr>
      </w:pPr>
    </w:p>
    <w:p w:rsidR="00E33B43" w:rsidRDefault="00E33B43" w:rsidP="00FA5342">
      <w:pPr>
        <w:pStyle w:val="BodyText"/>
        <w:ind w:left="720" w:right="-450" w:hanging="720"/>
        <w:rPr>
          <w:sz w:val="20"/>
        </w:rPr>
      </w:pPr>
    </w:p>
    <w:p w:rsidR="006D57BB" w:rsidRDefault="006D57BB" w:rsidP="00FA5342">
      <w:pPr>
        <w:pStyle w:val="BodyText"/>
        <w:ind w:left="720" w:right="-450" w:hanging="720"/>
        <w:rPr>
          <w:b/>
          <w:sz w:val="20"/>
        </w:rPr>
      </w:pPr>
    </w:p>
    <w:p w:rsidR="0059386B" w:rsidRDefault="0059386B" w:rsidP="00FA5342">
      <w:pPr>
        <w:pStyle w:val="BodyText"/>
        <w:ind w:left="720" w:right="-450" w:hanging="720"/>
        <w:rPr>
          <w:b/>
          <w:sz w:val="20"/>
        </w:rPr>
      </w:pPr>
      <w:r w:rsidRPr="00764F09">
        <w:rPr>
          <w:b/>
          <w:sz w:val="20"/>
        </w:rPr>
        <w:t>A</w:t>
      </w:r>
      <w:r w:rsidR="00EE0622">
        <w:rPr>
          <w:b/>
          <w:sz w:val="20"/>
        </w:rPr>
        <w:t>9</w:t>
      </w:r>
      <w:r>
        <w:rPr>
          <w:sz w:val="20"/>
        </w:rPr>
        <w:tab/>
      </w:r>
      <w:r>
        <w:rPr>
          <w:b/>
          <w:sz w:val="20"/>
        </w:rPr>
        <w:t>Dividends</w:t>
      </w:r>
      <w:r w:rsidR="0003680D">
        <w:rPr>
          <w:b/>
          <w:sz w:val="20"/>
        </w:rPr>
        <w:t xml:space="preserve"> paid</w:t>
      </w:r>
    </w:p>
    <w:p w:rsidR="0059386B" w:rsidRDefault="0059386B" w:rsidP="00FA5342">
      <w:pPr>
        <w:pStyle w:val="BodyText"/>
        <w:ind w:left="720" w:right="-450" w:hanging="720"/>
        <w:rPr>
          <w:sz w:val="20"/>
        </w:rPr>
      </w:pPr>
    </w:p>
    <w:p w:rsidR="00E40AE1" w:rsidRDefault="004773F8" w:rsidP="004773F8">
      <w:pPr>
        <w:ind w:firstLine="720"/>
        <w:jc w:val="both"/>
      </w:pPr>
      <w:r>
        <w:t>There was no dividend paid, proposed or declared during the quarter under review.</w:t>
      </w:r>
    </w:p>
    <w:p w:rsidR="003D4E75" w:rsidRDefault="003D4E75" w:rsidP="004773F8">
      <w:pPr>
        <w:ind w:firstLine="720"/>
        <w:jc w:val="both"/>
      </w:pPr>
    </w:p>
    <w:p w:rsidR="00EE0622" w:rsidRDefault="00EE0622" w:rsidP="004773F8">
      <w:pPr>
        <w:ind w:firstLine="720"/>
        <w:jc w:val="both"/>
      </w:pPr>
    </w:p>
    <w:p w:rsidR="00A65647" w:rsidRDefault="00A65647" w:rsidP="00FA5342">
      <w:pPr>
        <w:pStyle w:val="BodyText"/>
        <w:ind w:left="720" w:right="-450" w:hanging="720"/>
        <w:rPr>
          <w:b/>
          <w:sz w:val="20"/>
        </w:rPr>
      </w:pPr>
      <w:r w:rsidRPr="00764F09">
        <w:rPr>
          <w:b/>
          <w:sz w:val="20"/>
        </w:rPr>
        <w:t>A</w:t>
      </w:r>
      <w:r w:rsidR="00EE0622">
        <w:rPr>
          <w:b/>
          <w:sz w:val="20"/>
        </w:rPr>
        <w:t>10</w:t>
      </w:r>
      <w:r>
        <w:rPr>
          <w:sz w:val="20"/>
        </w:rPr>
        <w:tab/>
      </w:r>
      <w:r>
        <w:rPr>
          <w:b/>
          <w:sz w:val="20"/>
        </w:rPr>
        <w:t>Debt and equity securities</w:t>
      </w:r>
    </w:p>
    <w:p w:rsidR="00A65647" w:rsidRDefault="00A65647" w:rsidP="00491580">
      <w:pPr>
        <w:pStyle w:val="BodyText"/>
        <w:ind w:left="720" w:right="-450" w:hanging="1800"/>
        <w:rPr>
          <w:b/>
          <w:sz w:val="20"/>
        </w:rPr>
      </w:pPr>
    </w:p>
    <w:p w:rsidR="004C576D" w:rsidRDefault="0077594C" w:rsidP="00F25806">
      <w:pPr>
        <w:ind w:left="720"/>
        <w:jc w:val="both"/>
        <w:rPr>
          <w:lang w:val="en-GB"/>
        </w:rPr>
      </w:pPr>
      <w:r w:rsidRPr="00AE3FBF">
        <w:rPr>
          <w:lang w:val="en-GB"/>
        </w:rPr>
        <w:t>There were no issuances, cancellations, repurchases, resale or repayments of debt and equity securities during the quarter under review</w:t>
      </w:r>
      <w:r w:rsidR="00F25806">
        <w:rPr>
          <w:lang w:val="en-GB"/>
        </w:rPr>
        <w:t xml:space="preserve">.  </w:t>
      </w:r>
    </w:p>
    <w:p w:rsidR="00F25806" w:rsidRDefault="00F25806" w:rsidP="00F25806">
      <w:pPr>
        <w:ind w:left="720"/>
        <w:jc w:val="both"/>
        <w:rPr>
          <w:snapToGrid w:val="0"/>
          <w:color w:val="000000"/>
          <w:lang w:val="en-GB"/>
        </w:rPr>
      </w:pPr>
    </w:p>
    <w:p w:rsidR="00F25806" w:rsidRDefault="00F25806" w:rsidP="00FA5342">
      <w:pPr>
        <w:pStyle w:val="BodyText"/>
        <w:ind w:right="-450"/>
        <w:rPr>
          <w:b/>
          <w:sz w:val="20"/>
        </w:rPr>
      </w:pPr>
    </w:p>
    <w:p w:rsidR="00B6080A" w:rsidRDefault="005B07D6" w:rsidP="00FA5342">
      <w:pPr>
        <w:pStyle w:val="BodyText"/>
        <w:ind w:right="-450"/>
        <w:rPr>
          <w:b/>
          <w:sz w:val="20"/>
        </w:rPr>
      </w:pPr>
      <w:r w:rsidRPr="00764F09">
        <w:rPr>
          <w:b/>
          <w:sz w:val="20"/>
        </w:rPr>
        <w:t>A</w:t>
      </w:r>
      <w:r w:rsidR="006F5AD4">
        <w:rPr>
          <w:b/>
          <w:sz w:val="20"/>
        </w:rPr>
        <w:t>1</w:t>
      </w:r>
      <w:r w:rsidR="00EE0622">
        <w:rPr>
          <w:b/>
          <w:sz w:val="20"/>
        </w:rPr>
        <w:t>1</w:t>
      </w:r>
      <w:r w:rsidR="00FA5342">
        <w:rPr>
          <w:sz w:val="20"/>
        </w:rPr>
        <w:tab/>
      </w:r>
      <w:r w:rsidR="00BE4C8C">
        <w:rPr>
          <w:b/>
          <w:sz w:val="20"/>
        </w:rPr>
        <w:t xml:space="preserve">Segment </w:t>
      </w:r>
      <w:r w:rsidR="00210E04">
        <w:rPr>
          <w:b/>
          <w:sz w:val="20"/>
        </w:rPr>
        <w:t>information</w:t>
      </w:r>
      <w:r w:rsidR="00BE4C8C">
        <w:rPr>
          <w:b/>
          <w:sz w:val="20"/>
        </w:rPr>
        <w:t xml:space="preserve"> </w:t>
      </w:r>
      <w:r w:rsidR="00B6080A">
        <w:rPr>
          <w:b/>
          <w:sz w:val="20"/>
        </w:rPr>
        <w:tab/>
      </w:r>
    </w:p>
    <w:tbl>
      <w:tblPr>
        <w:tblW w:w="9090" w:type="dxa"/>
        <w:tblInd w:w="828" w:type="dxa"/>
        <w:tblLayout w:type="fixed"/>
        <w:tblLook w:val="0000"/>
      </w:tblPr>
      <w:tblGrid>
        <w:gridCol w:w="2970"/>
        <w:gridCol w:w="1170"/>
        <w:gridCol w:w="1890"/>
        <w:gridCol w:w="1170"/>
        <w:gridCol w:w="1890"/>
      </w:tblGrid>
      <w:tr w:rsidR="00B6080A" w:rsidTr="00655CCF">
        <w:trPr>
          <w:cantSplit/>
        </w:trPr>
        <w:tc>
          <w:tcPr>
            <w:tcW w:w="2970" w:type="dxa"/>
          </w:tcPr>
          <w:p w:rsidR="00B6080A" w:rsidRDefault="00B6080A" w:rsidP="004231A1">
            <w:pPr>
              <w:pStyle w:val="BodyText"/>
              <w:ind w:left="-828" w:right="-450"/>
              <w:rPr>
                <w:sz w:val="20"/>
              </w:rPr>
            </w:pPr>
            <w:r>
              <w:rPr>
                <w:sz w:val="20"/>
              </w:rPr>
              <w:tab/>
            </w:r>
          </w:p>
        </w:tc>
        <w:tc>
          <w:tcPr>
            <w:tcW w:w="3060" w:type="dxa"/>
            <w:gridSpan w:val="2"/>
            <w:tcBorders>
              <w:top w:val="single" w:sz="4" w:space="0" w:color="auto"/>
              <w:left w:val="single" w:sz="4" w:space="0" w:color="auto"/>
              <w:bottom w:val="single" w:sz="4" w:space="0" w:color="auto"/>
              <w:right w:val="single" w:sz="4" w:space="0" w:color="auto"/>
            </w:tcBorders>
          </w:tcPr>
          <w:p w:rsidR="00B6080A" w:rsidRDefault="00B6080A" w:rsidP="004231A1">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B6080A" w:rsidRDefault="00B6080A" w:rsidP="004231A1">
            <w:pPr>
              <w:pStyle w:val="BodyText"/>
              <w:ind w:right="-108" w:hanging="108"/>
              <w:jc w:val="center"/>
              <w:rPr>
                <w:b/>
                <w:sz w:val="18"/>
              </w:rPr>
            </w:pPr>
            <w:r>
              <w:rPr>
                <w:b/>
                <w:sz w:val="18"/>
              </w:rPr>
              <w:t>CUMULATIVE QUARTER</w:t>
            </w:r>
          </w:p>
        </w:tc>
      </w:tr>
      <w:tr w:rsidR="00B6080A" w:rsidRPr="003D4102" w:rsidTr="00655CCF">
        <w:tc>
          <w:tcPr>
            <w:tcW w:w="2970" w:type="dxa"/>
          </w:tcPr>
          <w:p w:rsidR="00B6080A" w:rsidRDefault="00B6080A" w:rsidP="004231A1">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CURRENT</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YEAR</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QUARTER</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3</w:t>
            </w:r>
            <w:r w:rsidR="00595106">
              <w:rPr>
                <w:b/>
                <w:sz w:val="18"/>
              </w:rPr>
              <w:t>0</w:t>
            </w:r>
            <w:r w:rsidRPr="004B01DB">
              <w:rPr>
                <w:b/>
                <w:sz w:val="18"/>
              </w:rPr>
              <w:t>/</w:t>
            </w:r>
            <w:r w:rsidR="00595106">
              <w:rPr>
                <w:b/>
                <w:sz w:val="18"/>
              </w:rPr>
              <w:t>6</w:t>
            </w:r>
            <w:r w:rsidRPr="004B01DB">
              <w:rPr>
                <w:b/>
                <w:sz w:val="18"/>
              </w:rPr>
              <w:t>/</w:t>
            </w:r>
            <w:r w:rsidR="00CB662A">
              <w:rPr>
                <w:b/>
                <w:sz w:val="18"/>
              </w:rPr>
              <w:t>2012</w:t>
            </w:r>
          </w:p>
          <w:p w:rsidR="00B6080A" w:rsidRPr="004B01DB" w:rsidRDefault="00B6080A" w:rsidP="004231A1">
            <w:pPr>
              <w:pStyle w:val="BodyText"/>
              <w:tabs>
                <w:tab w:val="left" w:pos="360"/>
                <w:tab w:val="left" w:pos="540"/>
                <w:tab w:val="left" w:pos="630"/>
                <w:tab w:val="left" w:pos="1080"/>
              </w:tabs>
              <w:ind w:right="-108" w:hanging="108"/>
              <w:jc w:val="center"/>
              <w:rPr>
                <w:b/>
                <w:sz w:val="18"/>
              </w:rPr>
            </w:pPr>
            <w:r w:rsidRPr="004B01DB">
              <w:rPr>
                <w:b/>
                <w:sz w:val="18"/>
              </w:rPr>
              <w:t>RM’000</w:t>
            </w:r>
          </w:p>
        </w:tc>
        <w:tc>
          <w:tcPr>
            <w:tcW w:w="1890" w:type="dxa"/>
            <w:tcBorders>
              <w:top w:val="single" w:sz="4" w:space="0" w:color="auto"/>
              <w:left w:val="nil"/>
              <w:bottom w:val="single" w:sz="4" w:space="0" w:color="auto"/>
              <w:right w:val="single" w:sz="4" w:space="0" w:color="auto"/>
            </w:tcBorders>
          </w:tcPr>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CORRESPONDING</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QUARTER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3</w:t>
            </w:r>
            <w:r w:rsidR="00595106">
              <w:rPr>
                <w:b/>
                <w:sz w:val="18"/>
              </w:rPr>
              <w:t>0</w:t>
            </w:r>
            <w:r w:rsidRPr="00A366C5">
              <w:rPr>
                <w:b/>
                <w:sz w:val="18"/>
              </w:rPr>
              <w:t>/</w:t>
            </w:r>
            <w:r w:rsidR="00595106">
              <w:rPr>
                <w:b/>
                <w:sz w:val="18"/>
              </w:rPr>
              <w:t>6</w:t>
            </w:r>
            <w:r w:rsidRPr="00A366C5">
              <w:rPr>
                <w:b/>
                <w:sz w:val="18"/>
              </w:rPr>
              <w:t>/20</w:t>
            </w:r>
            <w:r w:rsidR="00183057">
              <w:rPr>
                <w:b/>
                <w:sz w:val="18"/>
              </w:rPr>
              <w:t>1</w:t>
            </w:r>
            <w:r w:rsidR="00CB662A">
              <w:rPr>
                <w:b/>
                <w:sz w:val="18"/>
              </w:rPr>
              <w:t>1</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CURRENT</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YEAR TO DATE</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3</w:t>
            </w:r>
            <w:r w:rsidR="00595106">
              <w:rPr>
                <w:b/>
                <w:sz w:val="18"/>
              </w:rPr>
              <w:t>0</w:t>
            </w:r>
            <w:r w:rsidRPr="004E3D31">
              <w:rPr>
                <w:b/>
                <w:sz w:val="18"/>
              </w:rPr>
              <w:t>/</w:t>
            </w:r>
            <w:r w:rsidR="00595106">
              <w:rPr>
                <w:b/>
                <w:sz w:val="18"/>
              </w:rPr>
              <w:t>6</w:t>
            </w:r>
            <w:r w:rsidRPr="004E3D31">
              <w:rPr>
                <w:b/>
                <w:sz w:val="18"/>
              </w:rPr>
              <w:t>/201</w:t>
            </w:r>
            <w:r w:rsidR="00CB662A">
              <w:rPr>
                <w:b/>
                <w:sz w:val="18"/>
              </w:rPr>
              <w:t>2</w:t>
            </w:r>
          </w:p>
          <w:p w:rsidR="00B6080A" w:rsidRPr="004E3D31" w:rsidRDefault="00B6080A" w:rsidP="004231A1">
            <w:pPr>
              <w:pStyle w:val="BodyText"/>
              <w:tabs>
                <w:tab w:val="left" w:pos="360"/>
                <w:tab w:val="left" w:pos="540"/>
                <w:tab w:val="left" w:pos="630"/>
                <w:tab w:val="left" w:pos="1080"/>
              </w:tabs>
              <w:ind w:right="-108" w:hanging="108"/>
              <w:jc w:val="center"/>
              <w:rPr>
                <w:b/>
                <w:sz w:val="18"/>
              </w:rPr>
            </w:pPr>
            <w:r w:rsidRPr="004E3D31">
              <w:rPr>
                <w:b/>
                <w:sz w:val="18"/>
              </w:rPr>
              <w:t>RM’000</w:t>
            </w:r>
          </w:p>
        </w:tc>
        <w:tc>
          <w:tcPr>
            <w:tcW w:w="1890" w:type="dxa"/>
            <w:tcBorders>
              <w:top w:val="single" w:sz="4" w:space="0" w:color="auto"/>
              <w:left w:val="nil"/>
              <w:bottom w:val="single" w:sz="4" w:space="0" w:color="auto"/>
              <w:right w:val="single" w:sz="4" w:space="0" w:color="auto"/>
            </w:tcBorders>
          </w:tcPr>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PRECEDING YEAR</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CORRESPONDING</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PERIOD</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3</w:t>
            </w:r>
            <w:r w:rsidR="00595106">
              <w:rPr>
                <w:b/>
                <w:sz w:val="18"/>
              </w:rPr>
              <w:t>0</w:t>
            </w:r>
            <w:r w:rsidRPr="003D4102">
              <w:rPr>
                <w:b/>
                <w:sz w:val="18"/>
              </w:rPr>
              <w:t>/</w:t>
            </w:r>
            <w:r w:rsidR="00595106">
              <w:rPr>
                <w:b/>
                <w:sz w:val="18"/>
              </w:rPr>
              <w:t>6</w:t>
            </w:r>
            <w:r>
              <w:rPr>
                <w:b/>
                <w:sz w:val="18"/>
              </w:rPr>
              <w:t>/20</w:t>
            </w:r>
            <w:r w:rsidR="00CB662A">
              <w:rPr>
                <w:b/>
                <w:sz w:val="18"/>
              </w:rPr>
              <w:t>11</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RM’000</w:t>
            </w:r>
          </w:p>
        </w:tc>
      </w:tr>
      <w:tr w:rsidR="000C0D22" w:rsidRPr="00C9517D" w:rsidTr="00655CCF">
        <w:tc>
          <w:tcPr>
            <w:tcW w:w="2970" w:type="dxa"/>
            <w:tcBorders>
              <w:right w:val="single" w:sz="4" w:space="0" w:color="auto"/>
            </w:tcBorders>
            <w:shd w:val="clear" w:color="auto" w:fill="auto"/>
          </w:tcPr>
          <w:p w:rsidR="000C0D22" w:rsidRPr="004A435D" w:rsidRDefault="000C0D22" w:rsidP="00156B45">
            <w:pPr>
              <w:pStyle w:val="BodyText"/>
              <w:ind w:right="-450"/>
              <w:rPr>
                <w:b/>
                <w:color w:val="auto"/>
                <w:sz w:val="20"/>
              </w:rPr>
            </w:pPr>
            <w:r w:rsidRPr="004A435D">
              <w:rPr>
                <w:b/>
                <w:color w:val="auto"/>
                <w:sz w:val="20"/>
              </w:rPr>
              <w:t>Revenue</w:t>
            </w:r>
          </w:p>
        </w:tc>
        <w:tc>
          <w:tcPr>
            <w:tcW w:w="1170" w:type="dxa"/>
            <w:tcBorders>
              <w:top w:val="single" w:sz="4" w:space="0" w:color="auto"/>
              <w:left w:val="single" w:sz="4" w:space="0" w:color="auto"/>
              <w:right w:val="single" w:sz="4" w:space="0" w:color="auto"/>
            </w:tcBorders>
            <w:shd w:val="clear" w:color="auto" w:fill="auto"/>
          </w:tcPr>
          <w:p w:rsidR="000C0D22" w:rsidRPr="006E2B92" w:rsidRDefault="000C0D22" w:rsidP="004231A1">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0C0D22" w:rsidRPr="00C9517D" w:rsidRDefault="000C0D22" w:rsidP="00A43C0D">
            <w:pPr>
              <w:pStyle w:val="BodyText"/>
              <w:ind w:right="-450" w:hanging="108"/>
              <w:jc w:val="center"/>
              <w:rPr>
                <w:color w:val="auto"/>
                <w:sz w:val="20"/>
                <w:highlight w:val="yellow"/>
              </w:rPr>
            </w:pPr>
          </w:p>
        </w:tc>
        <w:tc>
          <w:tcPr>
            <w:tcW w:w="1170" w:type="dxa"/>
            <w:tcBorders>
              <w:top w:val="single" w:sz="4" w:space="0" w:color="auto"/>
              <w:left w:val="single" w:sz="4" w:space="0" w:color="auto"/>
              <w:right w:val="single" w:sz="4" w:space="0" w:color="auto"/>
            </w:tcBorders>
            <w:shd w:val="clear" w:color="auto" w:fill="auto"/>
          </w:tcPr>
          <w:p w:rsidR="000C0D22" w:rsidRPr="006E2B92" w:rsidRDefault="000C0D22" w:rsidP="004D331A">
            <w:pPr>
              <w:pStyle w:val="BodyText"/>
              <w:ind w:right="-450" w:hanging="108"/>
              <w:jc w:val="center"/>
              <w:rPr>
                <w:color w:val="auto"/>
                <w:sz w:val="20"/>
              </w:rPr>
            </w:pPr>
          </w:p>
        </w:tc>
        <w:tc>
          <w:tcPr>
            <w:tcW w:w="1890" w:type="dxa"/>
            <w:tcBorders>
              <w:top w:val="single" w:sz="4" w:space="0" w:color="auto"/>
              <w:left w:val="single" w:sz="4" w:space="0" w:color="auto"/>
              <w:right w:val="single" w:sz="4" w:space="0" w:color="auto"/>
            </w:tcBorders>
            <w:shd w:val="clear" w:color="auto" w:fill="auto"/>
          </w:tcPr>
          <w:p w:rsidR="000C0D22" w:rsidRPr="00C9517D" w:rsidRDefault="000C0D22" w:rsidP="00A43C0D">
            <w:pPr>
              <w:pStyle w:val="BodyText"/>
              <w:ind w:right="-450" w:hanging="108"/>
              <w:jc w:val="center"/>
              <w:rPr>
                <w:color w:val="auto"/>
                <w:sz w:val="20"/>
                <w:highlight w:val="yellow"/>
              </w:rPr>
            </w:pPr>
          </w:p>
        </w:tc>
      </w:tr>
      <w:tr w:rsidR="002E2A4C" w:rsidRPr="00C9517D" w:rsidTr="00655CCF">
        <w:tc>
          <w:tcPr>
            <w:tcW w:w="2970" w:type="dxa"/>
            <w:tcBorders>
              <w:right w:val="single" w:sz="4" w:space="0" w:color="auto"/>
            </w:tcBorders>
            <w:shd w:val="clear" w:color="auto" w:fill="auto"/>
          </w:tcPr>
          <w:p w:rsidR="002E2A4C" w:rsidRPr="002E2A4C" w:rsidRDefault="002E2A4C" w:rsidP="004231A1">
            <w:pPr>
              <w:pStyle w:val="BodyText"/>
              <w:ind w:right="-108" w:firstLine="72"/>
              <w:rPr>
                <w:b/>
                <w:color w:val="auto"/>
                <w:sz w:val="20"/>
              </w:rPr>
            </w:pPr>
            <w:r w:rsidRPr="002E2A4C">
              <w:rPr>
                <w:b/>
                <w:color w:val="auto"/>
                <w:sz w:val="20"/>
              </w:rPr>
              <w:t>Continuing operations</w:t>
            </w:r>
          </w:p>
        </w:tc>
        <w:tc>
          <w:tcPr>
            <w:tcW w:w="1170" w:type="dxa"/>
            <w:tcBorders>
              <w:left w:val="single" w:sz="4" w:space="0" w:color="auto"/>
              <w:right w:val="single" w:sz="4" w:space="0" w:color="auto"/>
            </w:tcBorders>
            <w:shd w:val="clear" w:color="auto" w:fill="auto"/>
          </w:tcPr>
          <w:p w:rsidR="002E2A4C" w:rsidRPr="006E2B92" w:rsidRDefault="002E2A4C" w:rsidP="006E2B92">
            <w:pPr>
              <w:pStyle w:val="BodyText"/>
              <w:ind w:right="-18" w:hanging="108"/>
              <w:jc w:val="center"/>
              <w:rPr>
                <w:b/>
                <w:color w:val="auto"/>
                <w:sz w:val="20"/>
              </w:rPr>
            </w:pPr>
          </w:p>
        </w:tc>
        <w:tc>
          <w:tcPr>
            <w:tcW w:w="1890" w:type="dxa"/>
            <w:tcBorders>
              <w:left w:val="single" w:sz="4" w:space="0" w:color="auto"/>
              <w:right w:val="single" w:sz="4" w:space="0" w:color="auto"/>
            </w:tcBorders>
            <w:shd w:val="clear" w:color="auto" w:fill="auto"/>
          </w:tcPr>
          <w:p w:rsidR="002E2A4C" w:rsidRPr="00CD3426" w:rsidRDefault="002E2A4C" w:rsidP="00D46163">
            <w:pPr>
              <w:pStyle w:val="BodyText"/>
              <w:ind w:right="-18" w:hanging="108"/>
              <w:jc w:val="center"/>
              <w:rPr>
                <w:color w:val="auto"/>
                <w:sz w:val="20"/>
              </w:rPr>
            </w:pPr>
          </w:p>
        </w:tc>
        <w:tc>
          <w:tcPr>
            <w:tcW w:w="1170" w:type="dxa"/>
            <w:tcBorders>
              <w:left w:val="single" w:sz="4" w:space="0" w:color="auto"/>
              <w:right w:val="single" w:sz="4" w:space="0" w:color="auto"/>
            </w:tcBorders>
            <w:shd w:val="clear" w:color="auto" w:fill="auto"/>
          </w:tcPr>
          <w:p w:rsidR="002E2A4C" w:rsidRPr="006E2B92" w:rsidRDefault="002E2A4C" w:rsidP="006E2B92">
            <w:pPr>
              <w:pStyle w:val="BodyText"/>
              <w:ind w:right="-18" w:hanging="108"/>
              <w:jc w:val="center"/>
              <w:rPr>
                <w:b/>
                <w:color w:val="auto"/>
                <w:sz w:val="20"/>
              </w:rPr>
            </w:pPr>
          </w:p>
        </w:tc>
        <w:tc>
          <w:tcPr>
            <w:tcW w:w="1890" w:type="dxa"/>
            <w:tcBorders>
              <w:left w:val="single" w:sz="4" w:space="0" w:color="auto"/>
              <w:right w:val="single" w:sz="4" w:space="0" w:color="auto"/>
            </w:tcBorders>
            <w:shd w:val="clear" w:color="auto" w:fill="auto"/>
          </w:tcPr>
          <w:p w:rsidR="002E2A4C" w:rsidRDefault="002E2A4C" w:rsidP="00BC69C7">
            <w:pPr>
              <w:pStyle w:val="BodyText"/>
              <w:ind w:right="-18" w:hanging="108"/>
              <w:jc w:val="center"/>
              <w:rPr>
                <w:color w:val="auto"/>
                <w:sz w:val="20"/>
              </w:rPr>
            </w:pPr>
          </w:p>
        </w:tc>
      </w:tr>
      <w:tr w:rsidR="00595106" w:rsidRPr="00C9517D" w:rsidTr="00655CCF">
        <w:tc>
          <w:tcPr>
            <w:tcW w:w="2970" w:type="dxa"/>
            <w:tcBorders>
              <w:right w:val="single" w:sz="4" w:space="0" w:color="auto"/>
            </w:tcBorders>
            <w:shd w:val="clear" w:color="auto" w:fill="auto"/>
          </w:tcPr>
          <w:p w:rsidR="00595106" w:rsidRPr="004A435D" w:rsidRDefault="00595106" w:rsidP="004231A1">
            <w:pPr>
              <w:pStyle w:val="BodyText"/>
              <w:ind w:right="-108" w:firstLine="72"/>
              <w:rPr>
                <w:color w:val="auto"/>
                <w:sz w:val="20"/>
              </w:rPr>
            </w:pPr>
            <w:r w:rsidRPr="004A435D">
              <w:rPr>
                <w:color w:val="auto"/>
                <w:sz w:val="20"/>
              </w:rPr>
              <w:t>Papua New Guinea - Automotive</w:t>
            </w:r>
          </w:p>
        </w:tc>
        <w:tc>
          <w:tcPr>
            <w:tcW w:w="1170" w:type="dxa"/>
            <w:tcBorders>
              <w:left w:val="single" w:sz="4" w:space="0" w:color="auto"/>
              <w:right w:val="single" w:sz="4" w:space="0" w:color="auto"/>
            </w:tcBorders>
            <w:shd w:val="clear" w:color="auto" w:fill="auto"/>
          </w:tcPr>
          <w:p w:rsidR="00595106" w:rsidRPr="006E2B92" w:rsidRDefault="006E2B92" w:rsidP="006E2B92">
            <w:pPr>
              <w:pStyle w:val="BodyText"/>
              <w:ind w:right="-18" w:hanging="108"/>
              <w:jc w:val="center"/>
              <w:rPr>
                <w:b/>
                <w:color w:val="auto"/>
                <w:sz w:val="20"/>
              </w:rPr>
            </w:pPr>
            <w:r w:rsidRPr="006E2B92">
              <w:rPr>
                <w:b/>
                <w:color w:val="auto"/>
                <w:sz w:val="20"/>
              </w:rPr>
              <w:t>234</w:t>
            </w:r>
            <w:r w:rsidR="00595106" w:rsidRPr="006E2B92">
              <w:rPr>
                <w:b/>
                <w:color w:val="auto"/>
                <w:sz w:val="20"/>
              </w:rPr>
              <w:t>,</w:t>
            </w:r>
            <w:r w:rsidRPr="006E2B92">
              <w:rPr>
                <w:b/>
                <w:color w:val="auto"/>
                <w:sz w:val="20"/>
              </w:rPr>
              <w:t>236</w:t>
            </w:r>
          </w:p>
        </w:tc>
        <w:tc>
          <w:tcPr>
            <w:tcW w:w="1890" w:type="dxa"/>
            <w:tcBorders>
              <w:left w:val="single" w:sz="4" w:space="0" w:color="auto"/>
              <w:right w:val="single" w:sz="4" w:space="0" w:color="auto"/>
            </w:tcBorders>
            <w:shd w:val="clear" w:color="auto" w:fill="auto"/>
          </w:tcPr>
          <w:p w:rsidR="00595106" w:rsidRPr="00CD3426" w:rsidRDefault="00595106" w:rsidP="00D46163">
            <w:pPr>
              <w:pStyle w:val="BodyText"/>
              <w:ind w:right="-18" w:hanging="108"/>
              <w:jc w:val="center"/>
              <w:rPr>
                <w:color w:val="auto"/>
                <w:sz w:val="20"/>
              </w:rPr>
            </w:pPr>
            <w:r w:rsidRPr="00CD3426">
              <w:rPr>
                <w:color w:val="auto"/>
                <w:sz w:val="20"/>
              </w:rPr>
              <w:t xml:space="preserve">      113,818</w:t>
            </w:r>
          </w:p>
        </w:tc>
        <w:tc>
          <w:tcPr>
            <w:tcW w:w="1170" w:type="dxa"/>
            <w:tcBorders>
              <w:left w:val="single" w:sz="4" w:space="0" w:color="auto"/>
              <w:right w:val="single" w:sz="4" w:space="0" w:color="auto"/>
            </w:tcBorders>
            <w:shd w:val="clear" w:color="auto" w:fill="auto"/>
          </w:tcPr>
          <w:p w:rsidR="00595106" w:rsidRPr="006E2B92" w:rsidRDefault="006E2B92" w:rsidP="006E2B92">
            <w:pPr>
              <w:pStyle w:val="BodyText"/>
              <w:ind w:right="-18" w:hanging="108"/>
              <w:jc w:val="center"/>
              <w:rPr>
                <w:b/>
                <w:color w:val="auto"/>
                <w:sz w:val="20"/>
              </w:rPr>
            </w:pPr>
            <w:r w:rsidRPr="006E2B92">
              <w:rPr>
                <w:b/>
                <w:color w:val="auto"/>
                <w:sz w:val="20"/>
              </w:rPr>
              <w:t xml:space="preserve">    423</w:t>
            </w:r>
            <w:r w:rsidR="00595106" w:rsidRPr="006E2B92">
              <w:rPr>
                <w:b/>
                <w:color w:val="auto"/>
                <w:sz w:val="20"/>
              </w:rPr>
              <w:t>,</w:t>
            </w:r>
            <w:r w:rsidRPr="006E2B92">
              <w:rPr>
                <w:b/>
                <w:color w:val="auto"/>
                <w:sz w:val="20"/>
              </w:rPr>
              <w:t>900</w:t>
            </w:r>
          </w:p>
        </w:tc>
        <w:tc>
          <w:tcPr>
            <w:tcW w:w="1890" w:type="dxa"/>
            <w:tcBorders>
              <w:left w:val="single" w:sz="4" w:space="0" w:color="auto"/>
              <w:right w:val="single" w:sz="4" w:space="0" w:color="auto"/>
            </w:tcBorders>
            <w:shd w:val="clear" w:color="auto" w:fill="auto"/>
          </w:tcPr>
          <w:p w:rsidR="00595106" w:rsidRPr="00A92A2D" w:rsidRDefault="00595106" w:rsidP="00BC69C7">
            <w:pPr>
              <w:pStyle w:val="BodyText"/>
              <w:ind w:right="-18" w:hanging="108"/>
              <w:jc w:val="center"/>
              <w:rPr>
                <w:color w:val="auto"/>
                <w:sz w:val="20"/>
              </w:rPr>
            </w:pPr>
            <w:r>
              <w:rPr>
                <w:color w:val="auto"/>
                <w:sz w:val="20"/>
              </w:rPr>
              <w:t xml:space="preserve">        </w:t>
            </w:r>
            <w:r w:rsidRPr="00A92A2D">
              <w:rPr>
                <w:color w:val="auto"/>
                <w:sz w:val="20"/>
              </w:rPr>
              <w:t>243,141</w:t>
            </w:r>
          </w:p>
        </w:tc>
      </w:tr>
      <w:tr w:rsidR="00595106" w:rsidRPr="00C9517D" w:rsidTr="00655CCF">
        <w:tc>
          <w:tcPr>
            <w:tcW w:w="2970" w:type="dxa"/>
            <w:tcBorders>
              <w:right w:val="single" w:sz="4" w:space="0" w:color="auto"/>
            </w:tcBorders>
            <w:shd w:val="clear" w:color="auto" w:fill="auto"/>
          </w:tcPr>
          <w:p w:rsidR="00595106" w:rsidRPr="004A435D" w:rsidRDefault="00595106" w:rsidP="004231A1">
            <w:pPr>
              <w:pStyle w:val="BodyText"/>
              <w:ind w:right="-108" w:firstLine="72"/>
              <w:rPr>
                <w:color w:val="auto"/>
                <w:sz w:val="20"/>
              </w:rPr>
            </w:pPr>
            <w:r w:rsidRPr="004A435D">
              <w:rPr>
                <w:color w:val="auto"/>
                <w:sz w:val="20"/>
              </w:rPr>
              <w:t>Papua New Guinea - Agriculture</w:t>
            </w:r>
          </w:p>
        </w:tc>
        <w:tc>
          <w:tcPr>
            <w:tcW w:w="1170" w:type="dxa"/>
            <w:tcBorders>
              <w:left w:val="single" w:sz="4" w:space="0" w:color="auto"/>
              <w:right w:val="single" w:sz="4" w:space="0" w:color="auto"/>
            </w:tcBorders>
            <w:shd w:val="clear" w:color="auto" w:fill="auto"/>
          </w:tcPr>
          <w:p w:rsidR="00595106" w:rsidRPr="006E2B92" w:rsidRDefault="00595106" w:rsidP="006E2B92">
            <w:pPr>
              <w:pStyle w:val="BodyText"/>
              <w:ind w:right="-18" w:hanging="108"/>
              <w:jc w:val="center"/>
              <w:rPr>
                <w:b/>
                <w:color w:val="auto"/>
                <w:sz w:val="20"/>
              </w:rPr>
            </w:pPr>
            <w:r w:rsidRPr="006E2B92">
              <w:rPr>
                <w:b/>
                <w:color w:val="auto"/>
                <w:sz w:val="20"/>
              </w:rPr>
              <w:t xml:space="preserve">  6</w:t>
            </w:r>
            <w:r w:rsidR="006E2B92" w:rsidRPr="006E2B92">
              <w:rPr>
                <w:b/>
                <w:color w:val="auto"/>
                <w:sz w:val="20"/>
              </w:rPr>
              <w:t>8</w:t>
            </w:r>
            <w:r w:rsidRPr="006E2B92">
              <w:rPr>
                <w:b/>
                <w:color w:val="auto"/>
                <w:sz w:val="20"/>
              </w:rPr>
              <w:t>,</w:t>
            </w:r>
            <w:r w:rsidR="006E2B92" w:rsidRPr="006E2B92">
              <w:rPr>
                <w:b/>
                <w:color w:val="auto"/>
                <w:sz w:val="20"/>
              </w:rPr>
              <w:t>873</w:t>
            </w:r>
          </w:p>
        </w:tc>
        <w:tc>
          <w:tcPr>
            <w:tcW w:w="1890" w:type="dxa"/>
            <w:tcBorders>
              <w:left w:val="single" w:sz="4" w:space="0" w:color="auto"/>
              <w:right w:val="single" w:sz="4" w:space="0" w:color="auto"/>
            </w:tcBorders>
            <w:shd w:val="clear" w:color="auto" w:fill="auto"/>
          </w:tcPr>
          <w:p w:rsidR="00595106" w:rsidRPr="00CD3426" w:rsidRDefault="00595106" w:rsidP="00D46163">
            <w:pPr>
              <w:pStyle w:val="BodyText"/>
              <w:ind w:right="-18" w:hanging="108"/>
              <w:jc w:val="center"/>
              <w:rPr>
                <w:color w:val="auto"/>
                <w:sz w:val="20"/>
              </w:rPr>
            </w:pPr>
            <w:r w:rsidRPr="00CD3426">
              <w:rPr>
                <w:color w:val="auto"/>
                <w:sz w:val="20"/>
              </w:rPr>
              <w:t xml:space="preserve">        7</w:t>
            </w:r>
            <w:r>
              <w:rPr>
                <w:color w:val="auto"/>
                <w:sz w:val="20"/>
              </w:rPr>
              <w:t>6</w:t>
            </w:r>
            <w:r w:rsidRPr="00CD3426">
              <w:rPr>
                <w:color w:val="auto"/>
                <w:sz w:val="20"/>
              </w:rPr>
              <w:t>,</w:t>
            </w:r>
            <w:r>
              <w:rPr>
                <w:color w:val="auto"/>
                <w:sz w:val="20"/>
              </w:rPr>
              <w:t>005</w:t>
            </w:r>
          </w:p>
        </w:tc>
        <w:tc>
          <w:tcPr>
            <w:tcW w:w="1170" w:type="dxa"/>
            <w:tcBorders>
              <w:left w:val="single" w:sz="4" w:space="0" w:color="auto"/>
              <w:right w:val="single" w:sz="4" w:space="0" w:color="auto"/>
            </w:tcBorders>
            <w:shd w:val="clear" w:color="auto" w:fill="auto"/>
          </w:tcPr>
          <w:p w:rsidR="00595106" w:rsidRPr="006E2B92" w:rsidRDefault="006E2B92" w:rsidP="004D331A">
            <w:pPr>
              <w:pStyle w:val="BodyText"/>
              <w:ind w:right="-18" w:hanging="108"/>
              <w:jc w:val="center"/>
              <w:rPr>
                <w:b/>
                <w:color w:val="auto"/>
                <w:sz w:val="20"/>
              </w:rPr>
            </w:pPr>
            <w:r w:rsidRPr="006E2B92">
              <w:rPr>
                <w:b/>
                <w:color w:val="auto"/>
                <w:sz w:val="20"/>
              </w:rPr>
              <w:t xml:space="preserve">    130,155</w:t>
            </w:r>
          </w:p>
        </w:tc>
        <w:tc>
          <w:tcPr>
            <w:tcW w:w="1890" w:type="dxa"/>
            <w:tcBorders>
              <w:left w:val="single" w:sz="4" w:space="0" w:color="auto"/>
              <w:right w:val="single" w:sz="4" w:space="0" w:color="auto"/>
            </w:tcBorders>
            <w:shd w:val="clear" w:color="auto" w:fill="auto"/>
          </w:tcPr>
          <w:p w:rsidR="00595106" w:rsidRPr="00A92A2D" w:rsidRDefault="00595106" w:rsidP="00BC69C7">
            <w:pPr>
              <w:pStyle w:val="BodyText"/>
              <w:ind w:right="-18" w:hanging="108"/>
              <w:jc w:val="center"/>
              <w:rPr>
                <w:color w:val="auto"/>
                <w:sz w:val="20"/>
              </w:rPr>
            </w:pPr>
            <w:r>
              <w:rPr>
                <w:color w:val="auto"/>
                <w:sz w:val="20"/>
              </w:rPr>
              <w:t xml:space="preserve">        </w:t>
            </w:r>
            <w:r w:rsidRPr="00A92A2D">
              <w:rPr>
                <w:color w:val="auto"/>
                <w:sz w:val="20"/>
              </w:rPr>
              <w:t>16</w:t>
            </w:r>
            <w:r>
              <w:rPr>
                <w:color w:val="auto"/>
                <w:sz w:val="20"/>
              </w:rPr>
              <w:t>0</w:t>
            </w:r>
            <w:r w:rsidRPr="00A92A2D">
              <w:rPr>
                <w:color w:val="auto"/>
                <w:sz w:val="20"/>
              </w:rPr>
              <w:t>,</w:t>
            </w:r>
            <w:r>
              <w:rPr>
                <w:color w:val="auto"/>
                <w:sz w:val="20"/>
              </w:rPr>
              <w:t>326</w:t>
            </w:r>
          </w:p>
        </w:tc>
      </w:tr>
      <w:tr w:rsidR="00595106" w:rsidRPr="00C9517D" w:rsidTr="00655CCF">
        <w:tc>
          <w:tcPr>
            <w:tcW w:w="2970" w:type="dxa"/>
            <w:tcBorders>
              <w:right w:val="single" w:sz="4" w:space="0" w:color="auto"/>
            </w:tcBorders>
            <w:shd w:val="clear" w:color="auto" w:fill="auto"/>
          </w:tcPr>
          <w:p w:rsidR="00595106" w:rsidRPr="004A435D" w:rsidRDefault="00595106" w:rsidP="004231A1">
            <w:pPr>
              <w:pStyle w:val="BodyText"/>
              <w:ind w:right="-108" w:firstLine="72"/>
              <w:jc w:val="left"/>
              <w:rPr>
                <w:color w:val="auto"/>
                <w:sz w:val="20"/>
              </w:rPr>
            </w:pPr>
            <w:r w:rsidRPr="004A435D">
              <w:rPr>
                <w:color w:val="auto"/>
                <w:sz w:val="20"/>
              </w:rPr>
              <w:t>Fiji - Retail and Wholesale</w:t>
            </w:r>
          </w:p>
        </w:tc>
        <w:tc>
          <w:tcPr>
            <w:tcW w:w="1170" w:type="dxa"/>
            <w:tcBorders>
              <w:left w:val="single" w:sz="4" w:space="0" w:color="auto"/>
              <w:right w:val="single" w:sz="4" w:space="0" w:color="auto"/>
            </w:tcBorders>
            <w:shd w:val="clear" w:color="auto" w:fill="auto"/>
          </w:tcPr>
          <w:p w:rsidR="00595106" w:rsidRPr="006E2B92" w:rsidRDefault="00595106" w:rsidP="006E2B92">
            <w:pPr>
              <w:pStyle w:val="BodyText"/>
              <w:ind w:right="-18" w:hanging="108"/>
              <w:jc w:val="center"/>
              <w:rPr>
                <w:b/>
                <w:color w:val="auto"/>
                <w:sz w:val="20"/>
              </w:rPr>
            </w:pPr>
            <w:r w:rsidRPr="006E2B92">
              <w:rPr>
                <w:b/>
                <w:color w:val="auto"/>
                <w:sz w:val="20"/>
              </w:rPr>
              <w:t>10</w:t>
            </w:r>
            <w:r w:rsidR="006E2B92" w:rsidRPr="006E2B92">
              <w:rPr>
                <w:b/>
                <w:color w:val="auto"/>
                <w:sz w:val="20"/>
              </w:rPr>
              <w:t>2</w:t>
            </w:r>
            <w:r w:rsidRPr="006E2B92">
              <w:rPr>
                <w:b/>
                <w:color w:val="auto"/>
                <w:sz w:val="20"/>
              </w:rPr>
              <w:t>,</w:t>
            </w:r>
            <w:r w:rsidR="006E2B92" w:rsidRPr="006E2B92">
              <w:rPr>
                <w:b/>
                <w:color w:val="auto"/>
                <w:sz w:val="20"/>
              </w:rPr>
              <w:t>202</w:t>
            </w:r>
          </w:p>
        </w:tc>
        <w:tc>
          <w:tcPr>
            <w:tcW w:w="1890" w:type="dxa"/>
            <w:tcBorders>
              <w:left w:val="single" w:sz="4" w:space="0" w:color="auto"/>
              <w:right w:val="single" w:sz="4" w:space="0" w:color="auto"/>
            </w:tcBorders>
            <w:shd w:val="clear" w:color="auto" w:fill="auto"/>
          </w:tcPr>
          <w:p w:rsidR="00595106" w:rsidRPr="00CD3426" w:rsidRDefault="00595106" w:rsidP="00D46163">
            <w:pPr>
              <w:pStyle w:val="BodyText"/>
              <w:ind w:right="-18" w:hanging="108"/>
              <w:jc w:val="center"/>
              <w:rPr>
                <w:color w:val="auto"/>
                <w:sz w:val="20"/>
              </w:rPr>
            </w:pPr>
            <w:r w:rsidRPr="00CD3426">
              <w:rPr>
                <w:color w:val="auto"/>
                <w:sz w:val="20"/>
              </w:rPr>
              <w:t xml:space="preserve">        92,062</w:t>
            </w:r>
          </w:p>
        </w:tc>
        <w:tc>
          <w:tcPr>
            <w:tcW w:w="1170" w:type="dxa"/>
            <w:tcBorders>
              <w:left w:val="single" w:sz="4" w:space="0" w:color="auto"/>
              <w:right w:val="single" w:sz="4" w:space="0" w:color="auto"/>
            </w:tcBorders>
            <w:shd w:val="clear" w:color="auto" w:fill="auto"/>
          </w:tcPr>
          <w:p w:rsidR="00595106" w:rsidRPr="006E2B92" w:rsidRDefault="006E2B92" w:rsidP="006E2B92">
            <w:pPr>
              <w:pStyle w:val="BodyText"/>
              <w:ind w:right="-18" w:hanging="108"/>
              <w:jc w:val="center"/>
              <w:rPr>
                <w:b/>
                <w:color w:val="auto"/>
                <w:sz w:val="20"/>
              </w:rPr>
            </w:pPr>
            <w:r w:rsidRPr="006E2B92">
              <w:rPr>
                <w:b/>
                <w:color w:val="auto"/>
                <w:sz w:val="20"/>
              </w:rPr>
              <w:t xml:space="preserve">    210</w:t>
            </w:r>
            <w:r w:rsidR="00595106" w:rsidRPr="006E2B92">
              <w:rPr>
                <w:b/>
                <w:color w:val="auto"/>
                <w:sz w:val="20"/>
              </w:rPr>
              <w:t>,</w:t>
            </w:r>
            <w:r w:rsidRPr="006E2B92">
              <w:rPr>
                <w:b/>
                <w:color w:val="auto"/>
                <w:sz w:val="20"/>
              </w:rPr>
              <w:t>978</w:t>
            </w:r>
          </w:p>
        </w:tc>
        <w:tc>
          <w:tcPr>
            <w:tcW w:w="1890" w:type="dxa"/>
            <w:tcBorders>
              <w:left w:val="single" w:sz="4" w:space="0" w:color="auto"/>
              <w:right w:val="single" w:sz="4" w:space="0" w:color="auto"/>
            </w:tcBorders>
            <w:shd w:val="clear" w:color="auto" w:fill="auto"/>
          </w:tcPr>
          <w:p w:rsidR="00595106" w:rsidRPr="00A92A2D" w:rsidRDefault="00595106" w:rsidP="00BC69C7">
            <w:pPr>
              <w:pStyle w:val="BodyText"/>
              <w:ind w:right="-18" w:hanging="108"/>
              <w:jc w:val="center"/>
              <w:rPr>
                <w:color w:val="auto"/>
                <w:sz w:val="20"/>
              </w:rPr>
            </w:pPr>
            <w:r>
              <w:rPr>
                <w:color w:val="auto"/>
                <w:sz w:val="20"/>
              </w:rPr>
              <w:t xml:space="preserve">        </w:t>
            </w:r>
            <w:r w:rsidRPr="00A92A2D">
              <w:rPr>
                <w:color w:val="auto"/>
                <w:sz w:val="20"/>
              </w:rPr>
              <w:t>175,253</w:t>
            </w:r>
          </w:p>
        </w:tc>
      </w:tr>
      <w:tr w:rsidR="00595106" w:rsidRPr="00C9517D" w:rsidTr="00655CCF">
        <w:tc>
          <w:tcPr>
            <w:tcW w:w="2970" w:type="dxa"/>
            <w:tcBorders>
              <w:right w:val="single" w:sz="4" w:space="0" w:color="auto"/>
            </w:tcBorders>
            <w:shd w:val="clear" w:color="auto" w:fill="auto"/>
          </w:tcPr>
          <w:p w:rsidR="00595106" w:rsidRPr="004A435D" w:rsidRDefault="00595106" w:rsidP="004231A1">
            <w:pPr>
              <w:pStyle w:val="BodyText"/>
              <w:ind w:right="-108" w:firstLine="72"/>
              <w:rPr>
                <w:color w:val="auto"/>
                <w:sz w:val="20"/>
              </w:rPr>
            </w:pPr>
            <w:r w:rsidRPr="004A435D">
              <w:rPr>
                <w:color w:val="auto"/>
                <w:sz w:val="20"/>
              </w:rPr>
              <w:t>Fiji - Automotive</w:t>
            </w:r>
          </w:p>
        </w:tc>
        <w:tc>
          <w:tcPr>
            <w:tcW w:w="1170" w:type="dxa"/>
            <w:tcBorders>
              <w:left w:val="single" w:sz="4" w:space="0" w:color="auto"/>
              <w:right w:val="single" w:sz="4" w:space="0" w:color="auto"/>
            </w:tcBorders>
            <w:shd w:val="clear" w:color="auto" w:fill="auto"/>
          </w:tcPr>
          <w:p w:rsidR="00595106" w:rsidRPr="006E2B92" w:rsidRDefault="00595106" w:rsidP="006E2B92">
            <w:pPr>
              <w:pStyle w:val="BodyText"/>
              <w:ind w:right="-18" w:hanging="108"/>
              <w:jc w:val="center"/>
              <w:rPr>
                <w:b/>
                <w:color w:val="auto"/>
                <w:sz w:val="20"/>
              </w:rPr>
            </w:pPr>
            <w:r w:rsidRPr="006E2B92">
              <w:rPr>
                <w:b/>
                <w:color w:val="auto"/>
                <w:sz w:val="20"/>
              </w:rPr>
              <w:t xml:space="preserve">  </w:t>
            </w:r>
            <w:r w:rsidR="006E2B92" w:rsidRPr="006E2B92">
              <w:rPr>
                <w:b/>
                <w:color w:val="auto"/>
                <w:sz w:val="20"/>
              </w:rPr>
              <w:t>65</w:t>
            </w:r>
            <w:r w:rsidRPr="006E2B92">
              <w:rPr>
                <w:b/>
                <w:color w:val="auto"/>
                <w:sz w:val="20"/>
              </w:rPr>
              <w:t>,</w:t>
            </w:r>
            <w:r w:rsidR="006E2B92" w:rsidRPr="006E2B92">
              <w:rPr>
                <w:b/>
                <w:color w:val="auto"/>
                <w:sz w:val="20"/>
              </w:rPr>
              <w:t>136</w:t>
            </w:r>
          </w:p>
        </w:tc>
        <w:tc>
          <w:tcPr>
            <w:tcW w:w="1890" w:type="dxa"/>
            <w:tcBorders>
              <w:left w:val="single" w:sz="4" w:space="0" w:color="auto"/>
              <w:right w:val="single" w:sz="4" w:space="0" w:color="auto"/>
            </w:tcBorders>
            <w:shd w:val="clear" w:color="auto" w:fill="auto"/>
          </w:tcPr>
          <w:p w:rsidR="00595106" w:rsidRPr="00CD3426" w:rsidRDefault="00595106" w:rsidP="00D46163">
            <w:pPr>
              <w:pStyle w:val="BodyText"/>
              <w:ind w:right="-18" w:hanging="108"/>
              <w:jc w:val="center"/>
              <w:rPr>
                <w:color w:val="auto"/>
                <w:sz w:val="20"/>
              </w:rPr>
            </w:pPr>
            <w:r w:rsidRPr="00CD3426">
              <w:rPr>
                <w:color w:val="auto"/>
                <w:sz w:val="20"/>
              </w:rPr>
              <w:t xml:space="preserve">        59,485</w:t>
            </w:r>
          </w:p>
        </w:tc>
        <w:tc>
          <w:tcPr>
            <w:tcW w:w="1170" w:type="dxa"/>
            <w:tcBorders>
              <w:left w:val="single" w:sz="4" w:space="0" w:color="auto"/>
              <w:right w:val="single" w:sz="4" w:space="0" w:color="auto"/>
            </w:tcBorders>
            <w:shd w:val="clear" w:color="auto" w:fill="auto"/>
          </w:tcPr>
          <w:p w:rsidR="00595106" w:rsidRPr="006E2B92" w:rsidRDefault="006E2B92" w:rsidP="006E2B92">
            <w:pPr>
              <w:pStyle w:val="BodyText"/>
              <w:ind w:right="-18" w:hanging="108"/>
              <w:jc w:val="center"/>
              <w:rPr>
                <w:b/>
                <w:color w:val="auto"/>
                <w:sz w:val="20"/>
              </w:rPr>
            </w:pPr>
            <w:r w:rsidRPr="006E2B92">
              <w:rPr>
                <w:b/>
                <w:color w:val="auto"/>
                <w:sz w:val="20"/>
              </w:rPr>
              <w:t xml:space="preserve">    124,243</w:t>
            </w:r>
          </w:p>
        </w:tc>
        <w:tc>
          <w:tcPr>
            <w:tcW w:w="1890" w:type="dxa"/>
            <w:tcBorders>
              <w:left w:val="single" w:sz="4" w:space="0" w:color="auto"/>
              <w:right w:val="single" w:sz="4" w:space="0" w:color="auto"/>
            </w:tcBorders>
            <w:shd w:val="clear" w:color="auto" w:fill="auto"/>
          </w:tcPr>
          <w:p w:rsidR="00595106" w:rsidRPr="00A92A2D" w:rsidRDefault="00595106" w:rsidP="00BC69C7">
            <w:pPr>
              <w:pStyle w:val="BodyText"/>
              <w:ind w:right="-18" w:hanging="108"/>
              <w:jc w:val="center"/>
              <w:rPr>
                <w:color w:val="auto"/>
                <w:sz w:val="20"/>
              </w:rPr>
            </w:pPr>
            <w:r>
              <w:rPr>
                <w:color w:val="auto"/>
                <w:sz w:val="20"/>
              </w:rPr>
              <w:t xml:space="preserve">        </w:t>
            </w:r>
            <w:r w:rsidRPr="00A92A2D">
              <w:rPr>
                <w:color w:val="auto"/>
                <w:sz w:val="20"/>
              </w:rPr>
              <w:t>111,978</w:t>
            </w:r>
          </w:p>
        </w:tc>
      </w:tr>
      <w:tr w:rsidR="00595106" w:rsidRPr="00C9517D" w:rsidTr="00655CCF">
        <w:tc>
          <w:tcPr>
            <w:tcW w:w="2970" w:type="dxa"/>
            <w:tcBorders>
              <w:right w:val="single" w:sz="4" w:space="0" w:color="auto"/>
            </w:tcBorders>
            <w:shd w:val="clear" w:color="auto" w:fill="auto"/>
          </w:tcPr>
          <w:p w:rsidR="00595106" w:rsidRPr="004A435D" w:rsidRDefault="00595106" w:rsidP="004231A1">
            <w:pPr>
              <w:pStyle w:val="BodyText"/>
              <w:ind w:right="-108" w:firstLine="72"/>
              <w:rPr>
                <w:color w:val="auto"/>
                <w:sz w:val="20"/>
              </w:rPr>
            </w:pPr>
            <w:r w:rsidRPr="004A435D">
              <w:rPr>
                <w:color w:val="auto"/>
                <w:sz w:val="20"/>
              </w:rPr>
              <w:t>Fiji - Property</w:t>
            </w:r>
          </w:p>
        </w:tc>
        <w:tc>
          <w:tcPr>
            <w:tcW w:w="1170" w:type="dxa"/>
            <w:tcBorders>
              <w:left w:val="single" w:sz="4" w:space="0" w:color="auto"/>
              <w:right w:val="single" w:sz="4" w:space="0" w:color="auto"/>
            </w:tcBorders>
            <w:shd w:val="clear" w:color="auto" w:fill="auto"/>
          </w:tcPr>
          <w:p w:rsidR="00595106" w:rsidRPr="006E2B92" w:rsidRDefault="00595106" w:rsidP="006E2B92">
            <w:pPr>
              <w:pStyle w:val="BodyText"/>
              <w:ind w:right="-18" w:hanging="108"/>
              <w:jc w:val="center"/>
              <w:rPr>
                <w:b/>
                <w:color w:val="auto"/>
                <w:sz w:val="20"/>
              </w:rPr>
            </w:pPr>
            <w:r w:rsidRPr="006E2B92">
              <w:rPr>
                <w:b/>
                <w:color w:val="auto"/>
                <w:sz w:val="20"/>
              </w:rPr>
              <w:t xml:space="preserve">    4,9</w:t>
            </w:r>
            <w:r w:rsidR="006E2B92" w:rsidRPr="006E2B92">
              <w:rPr>
                <w:b/>
                <w:color w:val="auto"/>
                <w:sz w:val="20"/>
              </w:rPr>
              <w:t>94</w:t>
            </w:r>
          </w:p>
        </w:tc>
        <w:tc>
          <w:tcPr>
            <w:tcW w:w="1890" w:type="dxa"/>
            <w:tcBorders>
              <w:left w:val="single" w:sz="4" w:space="0" w:color="auto"/>
              <w:right w:val="single" w:sz="4" w:space="0" w:color="auto"/>
            </w:tcBorders>
            <w:shd w:val="clear" w:color="auto" w:fill="auto"/>
          </w:tcPr>
          <w:p w:rsidR="00595106" w:rsidRPr="00CD3426" w:rsidRDefault="00595106" w:rsidP="00D46163">
            <w:pPr>
              <w:pStyle w:val="BodyText"/>
              <w:ind w:right="-18" w:hanging="108"/>
              <w:jc w:val="center"/>
              <w:rPr>
                <w:color w:val="auto"/>
                <w:sz w:val="20"/>
              </w:rPr>
            </w:pPr>
            <w:r w:rsidRPr="00CD3426">
              <w:rPr>
                <w:color w:val="auto"/>
                <w:sz w:val="20"/>
              </w:rPr>
              <w:t xml:space="preserve">        </w:t>
            </w:r>
            <w:r>
              <w:rPr>
                <w:color w:val="auto"/>
                <w:sz w:val="20"/>
              </w:rPr>
              <w:t xml:space="preserve"> </w:t>
            </w:r>
            <w:r w:rsidRPr="00CD3426">
              <w:rPr>
                <w:color w:val="auto"/>
                <w:sz w:val="20"/>
              </w:rPr>
              <w:t xml:space="preserve"> 6,605</w:t>
            </w:r>
          </w:p>
        </w:tc>
        <w:tc>
          <w:tcPr>
            <w:tcW w:w="1170" w:type="dxa"/>
            <w:tcBorders>
              <w:left w:val="single" w:sz="4" w:space="0" w:color="auto"/>
              <w:right w:val="single" w:sz="4" w:space="0" w:color="auto"/>
            </w:tcBorders>
            <w:shd w:val="clear" w:color="auto" w:fill="auto"/>
          </w:tcPr>
          <w:p w:rsidR="00595106" w:rsidRPr="006E2B92" w:rsidRDefault="00595106" w:rsidP="006E2B92">
            <w:pPr>
              <w:pStyle w:val="BodyText"/>
              <w:ind w:right="-18" w:hanging="108"/>
              <w:jc w:val="center"/>
              <w:rPr>
                <w:b/>
                <w:color w:val="auto"/>
                <w:sz w:val="20"/>
              </w:rPr>
            </w:pPr>
            <w:r w:rsidRPr="006E2B92">
              <w:rPr>
                <w:b/>
                <w:color w:val="auto"/>
                <w:sz w:val="20"/>
              </w:rPr>
              <w:t xml:space="preserve">  </w:t>
            </w:r>
            <w:r w:rsidR="006E2B92" w:rsidRPr="006E2B92">
              <w:rPr>
                <w:b/>
                <w:color w:val="auto"/>
                <w:sz w:val="20"/>
              </w:rPr>
              <w:t xml:space="preserve">    </w:t>
            </w:r>
            <w:r w:rsidRPr="006E2B92">
              <w:rPr>
                <w:b/>
                <w:color w:val="auto"/>
                <w:sz w:val="20"/>
              </w:rPr>
              <w:t xml:space="preserve"> </w:t>
            </w:r>
            <w:r w:rsidR="006E2B92" w:rsidRPr="006E2B92">
              <w:rPr>
                <w:b/>
                <w:color w:val="auto"/>
                <w:sz w:val="20"/>
              </w:rPr>
              <w:t>9</w:t>
            </w:r>
            <w:r w:rsidRPr="006E2B92">
              <w:rPr>
                <w:b/>
                <w:color w:val="auto"/>
                <w:sz w:val="20"/>
              </w:rPr>
              <w:t>,9</w:t>
            </w:r>
            <w:r w:rsidR="006E2B92" w:rsidRPr="006E2B92">
              <w:rPr>
                <w:b/>
                <w:color w:val="auto"/>
                <w:sz w:val="20"/>
              </w:rPr>
              <w:t>17</w:t>
            </w:r>
          </w:p>
        </w:tc>
        <w:tc>
          <w:tcPr>
            <w:tcW w:w="1890" w:type="dxa"/>
            <w:tcBorders>
              <w:left w:val="single" w:sz="4" w:space="0" w:color="auto"/>
              <w:right w:val="single" w:sz="4" w:space="0" w:color="auto"/>
            </w:tcBorders>
            <w:shd w:val="clear" w:color="auto" w:fill="auto"/>
          </w:tcPr>
          <w:p w:rsidR="00595106" w:rsidRPr="00A92A2D" w:rsidRDefault="00595106" w:rsidP="00BC69C7">
            <w:pPr>
              <w:pStyle w:val="BodyText"/>
              <w:ind w:right="-18" w:hanging="108"/>
              <w:jc w:val="center"/>
              <w:rPr>
                <w:color w:val="auto"/>
                <w:sz w:val="20"/>
              </w:rPr>
            </w:pPr>
            <w:r>
              <w:rPr>
                <w:color w:val="auto"/>
                <w:sz w:val="20"/>
              </w:rPr>
              <w:t xml:space="preserve">          </w:t>
            </w:r>
            <w:r w:rsidRPr="00A92A2D">
              <w:rPr>
                <w:color w:val="auto"/>
                <w:sz w:val="20"/>
              </w:rPr>
              <w:t>12,800</w:t>
            </w:r>
          </w:p>
        </w:tc>
      </w:tr>
      <w:tr w:rsidR="00595106" w:rsidRPr="00C9517D" w:rsidTr="00655CCF">
        <w:tc>
          <w:tcPr>
            <w:tcW w:w="2970" w:type="dxa"/>
            <w:tcBorders>
              <w:right w:val="single" w:sz="4" w:space="0" w:color="auto"/>
            </w:tcBorders>
            <w:shd w:val="clear" w:color="auto" w:fill="auto"/>
          </w:tcPr>
          <w:p w:rsidR="00595106" w:rsidRPr="004A435D" w:rsidRDefault="00595106" w:rsidP="004231A1">
            <w:pPr>
              <w:pStyle w:val="BodyText"/>
              <w:ind w:right="-108" w:firstLine="72"/>
              <w:rPr>
                <w:color w:val="auto"/>
                <w:sz w:val="20"/>
              </w:rPr>
            </w:pPr>
            <w:r w:rsidRPr="004A435D">
              <w:rPr>
                <w:color w:val="auto"/>
                <w:sz w:val="20"/>
              </w:rPr>
              <w:t>Shipping</w:t>
            </w:r>
          </w:p>
        </w:tc>
        <w:tc>
          <w:tcPr>
            <w:tcW w:w="1170" w:type="dxa"/>
            <w:tcBorders>
              <w:left w:val="single" w:sz="4" w:space="0" w:color="auto"/>
              <w:right w:val="single" w:sz="4" w:space="0" w:color="auto"/>
            </w:tcBorders>
            <w:shd w:val="clear" w:color="auto" w:fill="auto"/>
          </w:tcPr>
          <w:p w:rsidR="00595106" w:rsidRPr="006E2B92" w:rsidRDefault="00595106" w:rsidP="00A931E1">
            <w:pPr>
              <w:pStyle w:val="BodyText"/>
              <w:ind w:left="-18" w:right="-450" w:hanging="108"/>
              <w:rPr>
                <w:b/>
                <w:color w:val="auto"/>
                <w:sz w:val="20"/>
              </w:rPr>
            </w:pPr>
            <w:r w:rsidRPr="006E2B92">
              <w:rPr>
                <w:b/>
                <w:color w:val="auto"/>
                <w:sz w:val="20"/>
              </w:rPr>
              <w:t xml:space="preserve">      </w:t>
            </w:r>
            <w:r w:rsidR="00A931E1">
              <w:rPr>
                <w:b/>
                <w:color w:val="auto"/>
                <w:sz w:val="20"/>
              </w:rPr>
              <w:t>40</w:t>
            </w:r>
            <w:r w:rsidRPr="006E2B92">
              <w:rPr>
                <w:b/>
                <w:color w:val="auto"/>
                <w:sz w:val="20"/>
              </w:rPr>
              <w:t>,</w:t>
            </w:r>
            <w:r w:rsidR="00A931E1">
              <w:rPr>
                <w:b/>
                <w:color w:val="auto"/>
                <w:sz w:val="20"/>
              </w:rPr>
              <w:t>934</w:t>
            </w:r>
          </w:p>
        </w:tc>
        <w:tc>
          <w:tcPr>
            <w:tcW w:w="1890" w:type="dxa"/>
            <w:tcBorders>
              <w:left w:val="single" w:sz="4" w:space="0" w:color="auto"/>
              <w:right w:val="single" w:sz="4" w:space="0" w:color="auto"/>
            </w:tcBorders>
            <w:shd w:val="clear" w:color="auto" w:fill="auto"/>
          </w:tcPr>
          <w:p w:rsidR="00595106" w:rsidRPr="00CD3426" w:rsidRDefault="00595106" w:rsidP="00D46163">
            <w:pPr>
              <w:pStyle w:val="BodyText"/>
              <w:ind w:left="-18" w:right="-450" w:hanging="108"/>
              <w:jc w:val="center"/>
              <w:rPr>
                <w:color w:val="auto"/>
                <w:sz w:val="20"/>
              </w:rPr>
            </w:pPr>
            <w:r>
              <w:rPr>
                <w:color w:val="auto"/>
                <w:sz w:val="20"/>
              </w:rPr>
              <w:t xml:space="preserve"> 40</w:t>
            </w:r>
            <w:r w:rsidRPr="00CD3426">
              <w:rPr>
                <w:color w:val="auto"/>
                <w:sz w:val="20"/>
              </w:rPr>
              <w:t>,</w:t>
            </w:r>
            <w:r>
              <w:rPr>
                <w:color w:val="auto"/>
                <w:sz w:val="20"/>
              </w:rPr>
              <w:t>4</w:t>
            </w:r>
            <w:r w:rsidR="005542FE">
              <w:rPr>
                <w:color w:val="auto"/>
                <w:sz w:val="20"/>
              </w:rPr>
              <w:t>09</w:t>
            </w:r>
          </w:p>
        </w:tc>
        <w:tc>
          <w:tcPr>
            <w:tcW w:w="1170" w:type="dxa"/>
            <w:tcBorders>
              <w:left w:val="single" w:sz="4" w:space="0" w:color="auto"/>
              <w:right w:val="single" w:sz="4" w:space="0" w:color="auto"/>
            </w:tcBorders>
            <w:shd w:val="clear" w:color="auto" w:fill="auto"/>
          </w:tcPr>
          <w:p w:rsidR="00595106" w:rsidRPr="006E2B92" w:rsidRDefault="00595106" w:rsidP="00A931E1">
            <w:pPr>
              <w:pStyle w:val="BodyText"/>
              <w:ind w:left="-18" w:right="-450" w:hanging="108"/>
              <w:rPr>
                <w:b/>
                <w:color w:val="auto"/>
                <w:sz w:val="20"/>
              </w:rPr>
            </w:pPr>
            <w:r w:rsidRPr="006E2B92">
              <w:rPr>
                <w:b/>
                <w:color w:val="auto"/>
                <w:sz w:val="20"/>
              </w:rPr>
              <w:t xml:space="preserve">      </w:t>
            </w:r>
            <w:r w:rsidR="006E2B92" w:rsidRPr="006E2B92">
              <w:rPr>
                <w:b/>
                <w:color w:val="auto"/>
                <w:sz w:val="20"/>
              </w:rPr>
              <w:t xml:space="preserve">  </w:t>
            </w:r>
            <w:r w:rsidR="00A931E1">
              <w:rPr>
                <w:b/>
                <w:color w:val="auto"/>
                <w:sz w:val="20"/>
              </w:rPr>
              <w:t>73,078</w:t>
            </w:r>
          </w:p>
        </w:tc>
        <w:tc>
          <w:tcPr>
            <w:tcW w:w="1890" w:type="dxa"/>
            <w:tcBorders>
              <w:left w:val="single" w:sz="4" w:space="0" w:color="auto"/>
              <w:right w:val="single" w:sz="4" w:space="0" w:color="auto"/>
            </w:tcBorders>
            <w:shd w:val="clear" w:color="auto" w:fill="auto"/>
          </w:tcPr>
          <w:p w:rsidR="00595106" w:rsidRPr="00A92A2D" w:rsidRDefault="00595106" w:rsidP="00BC69C7">
            <w:pPr>
              <w:pStyle w:val="BodyText"/>
              <w:ind w:left="-18" w:right="-450" w:hanging="108"/>
              <w:jc w:val="center"/>
              <w:rPr>
                <w:color w:val="auto"/>
                <w:sz w:val="20"/>
              </w:rPr>
            </w:pPr>
            <w:r>
              <w:rPr>
                <w:color w:val="auto"/>
                <w:sz w:val="20"/>
              </w:rPr>
              <w:t xml:space="preserve">   72,703</w:t>
            </w:r>
          </w:p>
        </w:tc>
      </w:tr>
      <w:tr w:rsidR="00595106" w:rsidRPr="00C9517D" w:rsidTr="00655CCF">
        <w:tc>
          <w:tcPr>
            <w:tcW w:w="2970" w:type="dxa"/>
            <w:tcBorders>
              <w:right w:val="single" w:sz="4" w:space="0" w:color="auto"/>
            </w:tcBorders>
            <w:shd w:val="clear" w:color="auto" w:fill="auto"/>
          </w:tcPr>
          <w:p w:rsidR="00595106" w:rsidRPr="004A435D" w:rsidRDefault="00595106" w:rsidP="002E2A4C">
            <w:pPr>
              <w:pStyle w:val="BodyText"/>
              <w:ind w:right="-108" w:firstLine="72"/>
              <w:rPr>
                <w:color w:val="auto"/>
                <w:sz w:val="20"/>
              </w:rPr>
            </w:pPr>
            <w:r w:rsidRPr="004A435D">
              <w:rPr>
                <w:color w:val="auto"/>
                <w:sz w:val="20"/>
              </w:rPr>
              <w:t>Other</w:t>
            </w:r>
            <w:r w:rsidR="002E2A4C">
              <w:rPr>
                <w:color w:val="auto"/>
                <w:sz w:val="20"/>
              </w:rPr>
              <w:t xml:space="preserve">s </w:t>
            </w:r>
            <w:r>
              <w:rPr>
                <w:color w:val="auto"/>
                <w:sz w:val="20"/>
              </w:rPr>
              <w:t>*</w:t>
            </w:r>
          </w:p>
        </w:tc>
        <w:tc>
          <w:tcPr>
            <w:tcW w:w="1170" w:type="dxa"/>
            <w:tcBorders>
              <w:left w:val="single" w:sz="4" w:space="0" w:color="auto"/>
              <w:right w:val="single" w:sz="4" w:space="0" w:color="auto"/>
            </w:tcBorders>
            <w:shd w:val="clear" w:color="auto" w:fill="auto"/>
          </w:tcPr>
          <w:p w:rsidR="00595106" w:rsidRPr="006E2B92" w:rsidRDefault="00595106" w:rsidP="005542FE">
            <w:pPr>
              <w:pStyle w:val="BodyText"/>
              <w:ind w:right="-450" w:hanging="108"/>
              <w:rPr>
                <w:b/>
                <w:color w:val="auto"/>
                <w:sz w:val="20"/>
              </w:rPr>
            </w:pPr>
            <w:r w:rsidRPr="006E2B92">
              <w:rPr>
                <w:b/>
                <w:color w:val="auto"/>
                <w:sz w:val="20"/>
              </w:rPr>
              <w:t xml:space="preserve">    1</w:t>
            </w:r>
            <w:r w:rsidR="006E2B92" w:rsidRPr="006E2B92">
              <w:rPr>
                <w:b/>
                <w:color w:val="auto"/>
                <w:sz w:val="20"/>
              </w:rPr>
              <w:t>3</w:t>
            </w:r>
            <w:r w:rsidR="005542FE">
              <w:rPr>
                <w:b/>
                <w:color w:val="auto"/>
                <w:sz w:val="20"/>
              </w:rPr>
              <w:t>8</w:t>
            </w:r>
            <w:r w:rsidRPr="006E2B92">
              <w:rPr>
                <w:b/>
                <w:color w:val="auto"/>
                <w:sz w:val="20"/>
              </w:rPr>
              <w:t>,</w:t>
            </w:r>
            <w:r w:rsidR="005542FE">
              <w:rPr>
                <w:b/>
                <w:color w:val="auto"/>
                <w:sz w:val="20"/>
              </w:rPr>
              <w:t>961</w:t>
            </w:r>
          </w:p>
        </w:tc>
        <w:tc>
          <w:tcPr>
            <w:tcW w:w="1890" w:type="dxa"/>
            <w:tcBorders>
              <w:left w:val="single" w:sz="4" w:space="0" w:color="auto"/>
              <w:right w:val="single" w:sz="4" w:space="0" w:color="auto"/>
            </w:tcBorders>
            <w:shd w:val="clear" w:color="auto" w:fill="auto"/>
          </w:tcPr>
          <w:p w:rsidR="00595106" w:rsidRPr="00CD3426" w:rsidRDefault="00595106" w:rsidP="00D46163">
            <w:pPr>
              <w:pStyle w:val="BodyText"/>
              <w:ind w:right="-450" w:hanging="108"/>
              <w:rPr>
                <w:color w:val="auto"/>
                <w:sz w:val="20"/>
              </w:rPr>
            </w:pPr>
            <w:r w:rsidRPr="00CD3426">
              <w:rPr>
                <w:color w:val="auto"/>
                <w:sz w:val="20"/>
              </w:rPr>
              <w:t xml:space="preserve">       </w:t>
            </w:r>
            <w:r>
              <w:rPr>
                <w:color w:val="auto"/>
                <w:sz w:val="20"/>
              </w:rPr>
              <w:t xml:space="preserve">       </w:t>
            </w:r>
            <w:r w:rsidRPr="00CD3426">
              <w:rPr>
                <w:color w:val="auto"/>
                <w:sz w:val="20"/>
              </w:rPr>
              <w:t>1</w:t>
            </w:r>
            <w:r>
              <w:rPr>
                <w:color w:val="auto"/>
                <w:sz w:val="20"/>
              </w:rPr>
              <w:t>23,</w:t>
            </w:r>
            <w:r w:rsidR="005542FE">
              <w:rPr>
                <w:color w:val="auto"/>
                <w:sz w:val="20"/>
              </w:rPr>
              <w:t>306</w:t>
            </w:r>
          </w:p>
        </w:tc>
        <w:tc>
          <w:tcPr>
            <w:tcW w:w="1170" w:type="dxa"/>
            <w:tcBorders>
              <w:left w:val="single" w:sz="4" w:space="0" w:color="auto"/>
              <w:right w:val="single" w:sz="4" w:space="0" w:color="auto"/>
            </w:tcBorders>
            <w:shd w:val="clear" w:color="auto" w:fill="auto"/>
          </w:tcPr>
          <w:p w:rsidR="00595106" w:rsidRPr="006E2B92" w:rsidRDefault="00595106" w:rsidP="006E2B92">
            <w:pPr>
              <w:pStyle w:val="BodyText"/>
              <w:ind w:right="-450" w:hanging="108"/>
              <w:rPr>
                <w:b/>
                <w:color w:val="auto"/>
                <w:sz w:val="20"/>
              </w:rPr>
            </w:pPr>
            <w:r w:rsidRPr="006E2B92">
              <w:rPr>
                <w:b/>
                <w:color w:val="auto"/>
                <w:sz w:val="20"/>
              </w:rPr>
              <w:t xml:space="preserve">    </w:t>
            </w:r>
            <w:r w:rsidR="006E2B92" w:rsidRPr="006E2B92">
              <w:rPr>
                <w:b/>
                <w:color w:val="auto"/>
                <w:sz w:val="20"/>
              </w:rPr>
              <w:t xml:space="preserve">  265</w:t>
            </w:r>
            <w:r w:rsidRPr="006E2B92">
              <w:rPr>
                <w:b/>
                <w:color w:val="auto"/>
                <w:sz w:val="20"/>
              </w:rPr>
              <w:t>,</w:t>
            </w:r>
            <w:r w:rsidR="006E2B92" w:rsidRPr="006E2B92">
              <w:rPr>
                <w:b/>
                <w:color w:val="auto"/>
                <w:sz w:val="20"/>
              </w:rPr>
              <w:t>625</w:t>
            </w:r>
          </w:p>
        </w:tc>
        <w:tc>
          <w:tcPr>
            <w:tcW w:w="1890" w:type="dxa"/>
            <w:tcBorders>
              <w:left w:val="single" w:sz="4" w:space="0" w:color="auto"/>
              <w:right w:val="single" w:sz="4" w:space="0" w:color="auto"/>
            </w:tcBorders>
            <w:shd w:val="clear" w:color="auto" w:fill="auto"/>
          </w:tcPr>
          <w:p w:rsidR="00595106" w:rsidRPr="00A92A2D" w:rsidRDefault="00595106" w:rsidP="00BC69C7">
            <w:pPr>
              <w:pStyle w:val="BodyText"/>
              <w:ind w:right="-450" w:hanging="108"/>
              <w:jc w:val="center"/>
              <w:rPr>
                <w:color w:val="auto"/>
                <w:sz w:val="20"/>
              </w:rPr>
            </w:pPr>
            <w:r>
              <w:rPr>
                <w:color w:val="auto"/>
                <w:sz w:val="20"/>
              </w:rPr>
              <w:t xml:space="preserve"> </w:t>
            </w:r>
            <w:r w:rsidRPr="00A92A2D">
              <w:rPr>
                <w:color w:val="auto"/>
                <w:sz w:val="20"/>
              </w:rPr>
              <w:t>23</w:t>
            </w:r>
            <w:r w:rsidR="005542FE">
              <w:rPr>
                <w:color w:val="auto"/>
                <w:sz w:val="20"/>
              </w:rPr>
              <w:t>6,211</w:t>
            </w:r>
          </w:p>
        </w:tc>
      </w:tr>
      <w:tr w:rsidR="00595106" w:rsidRPr="00BB59E8" w:rsidTr="00655CCF">
        <w:tc>
          <w:tcPr>
            <w:tcW w:w="2970" w:type="dxa"/>
            <w:tcBorders>
              <w:right w:val="single" w:sz="4" w:space="0" w:color="auto"/>
            </w:tcBorders>
            <w:shd w:val="clear" w:color="auto" w:fill="auto"/>
          </w:tcPr>
          <w:p w:rsidR="00595106" w:rsidRPr="00BB59E8" w:rsidRDefault="00595106" w:rsidP="004231A1">
            <w:pPr>
              <w:pStyle w:val="BodyText"/>
              <w:ind w:left="72" w:right="-450"/>
              <w:rPr>
                <w:color w:val="auto"/>
                <w:sz w:val="20"/>
              </w:rPr>
            </w:pPr>
            <w:r w:rsidRPr="00BB59E8">
              <w:rPr>
                <w:color w:val="auto"/>
                <w:sz w:val="20"/>
              </w:rPr>
              <w:t xml:space="preserve">Adjustments and eliminations   </w:t>
            </w:r>
          </w:p>
        </w:tc>
        <w:tc>
          <w:tcPr>
            <w:tcW w:w="1170" w:type="dxa"/>
            <w:tcBorders>
              <w:left w:val="single" w:sz="4" w:space="0" w:color="auto"/>
              <w:right w:val="single" w:sz="4" w:space="0" w:color="auto"/>
            </w:tcBorders>
            <w:shd w:val="clear" w:color="auto" w:fill="auto"/>
          </w:tcPr>
          <w:p w:rsidR="00595106" w:rsidRPr="006E2B92" w:rsidRDefault="006E2B92" w:rsidP="00A931E1">
            <w:pPr>
              <w:pStyle w:val="BodyText"/>
              <w:ind w:right="-450" w:hanging="108"/>
              <w:rPr>
                <w:b/>
                <w:color w:val="auto"/>
                <w:sz w:val="20"/>
              </w:rPr>
            </w:pPr>
            <w:r w:rsidRPr="006E2B92">
              <w:rPr>
                <w:b/>
                <w:color w:val="auto"/>
                <w:sz w:val="20"/>
              </w:rPr>
              <w:t xml:space="preserve"> </w:t>
            </w:r>
            <w:r w:rsidR="00595106" w:rsidRPr="006E2B92">
              <w:rPr>
                <w:b/>
                <w:color w:val="auto"/>
                <w:sz w:val="20"/>
              </w:rPr>
              <w:t xml:space="preserve">    (</w:t>
            </w:r>
            <w:r w:rsidRPr="006E2B92">
              <w:rPr>
                <w:b/>
                <w:color w:val="auto"/>
                <w:sz w:val="20"/>
              </w:rPr>
              <w:t>1</w:t>
            </w:r>
            <w:r w:rsidR="00A931E1">
              <w:rPr>
                <w:b/>
                <w:color w:val="auto"/>
                <w:sz w:val="20"/>
              </w:rPr>
              <w:t>5</w:t>
            </w:r>
            <w:r w:rsidR="00595106" w:rsidRPr="006E2B92">
              <w:rPr>
                <w:b/>
                <w:color w:val="auto"/>
                <w:sz w:val="20"/>
              </w:rPr>
              <w:t>,</w:t>
            </w:r>
            <w:r w:rsidR="00A931E1">
              <w:rPr>
                <w:b/>
                <w:color w:val="auto"/>
                <w:sz w:val="20"/>
              </w:rPr>
              <w:t>579</w:t>
            </w:r>
            <w:r w:rsidR="00595106" w:rsidRPr="006E2B92">
              <w:rPr>
                <w:b/>
                <w:color w:val="auto"/>
                <w:sz w:val="20"/>
              </w:rPr>
              <w:t>)</w:t>
            </w:r>
          </w:p>
        </w:tc>
        <w:tc>
          <w:tcPr>
            <w:tcW w:w="1890" w:type="dxa"/>
            <w:tcBorders>
              <w:left w:val="single" w:sz="4" w:space="0" w:color="auto"/>
              <w:right w:val="single" w:sz="4" w:space="0" w:color="auto"/>
            </w:tcBorders>
            <w:shd w:val="clear" w:color="auto" w:fill="auto"/>
          </w:tcPr>
          <w:p w:rsidR="00595106" w:rsidRPr="00CD3426" w:rsidRDefault="00595106" w:rsidP="00D46163">
            <w:pPr>
              <w:pStyle w:val="BodyText"/>
              <w:ind w:right="-450" w:hanging="108"/>
              <w:jc w:val="center"/>
              <w:rPr>
                <w:color w:val="auto"/>
                <w:sz w:val="20"/>
              </w:rPr>
            </w:pPr>
            <w:r>
              <w:rPr>
                <w:color w:val="auto"/>
                <w:sz w:val="20"/>
              </w:rPr>
              <w:t xml:space="preserve"> </w:t>
            </w:r>
            <w:r w:rsidRPr="00CD3426">
              <w:rPr>
                <w:color w:val="auto"/>
                <w:sz w:val="20"/>
              </w:rPr>
              <w:t>(10,245)</w:t>
            </w:r>
          </w:p>
        </w:tc>
        <w:tc>
          <w:tcPr>
            <w:tcW w:w="1170" w:type="dxa"/>
            <w:tcBorders>
              <w:left w:val="single" w:sz="4" w:space="0" w:color="auto"/>
              <w:right w:val="single" w:sz="4" w:space="0" w:color="auto"/>
            </w:tcBorders>
            <w:shd w:val="clear" w:color="auto" w:fill="auto"/>
          </w:tcPr>
          <w:p w:rsidR="00595106" w:rsidRPr="006E2B92" w:rsidRDefault="00595106" w:rsidP="00A931E1">
            <w:pPr>
              <w:pStyle w:val="BodyText"/>
              <w:ind w:right="-450" w:hanging="108"/>
              <w:rPr>
                <w:b/>
                <w:color w:val="auto"/>
                <w:sz w:val="20"/>
              </w:rPr>
            </w:pPr>
            <w:r w:rsidRPr="006E2B92">
              <w:rPr>
                <w:b/>
                <w:color w:val="auto"/>
                <w:sz w:val="20"/>
              </w:rPr>
              <w:t xml:space="preserve">    </w:t>
            </w:r>
            <w:r w:rsidR="006E2B92" w:rsidRPr="006E2B92">
              <w:rPr>
                <w:b/>
                <w:color w:val="auto"/>
                <w:sz w:val="20"/>
              </w:rPr>
              <w:t xml:space="preserve">  </w:t>
            </w:r>
            <w:r w:rsidRPr="006E2B92">
              <w:rPr>
                <w:b/>
                <w:color w:val="auto"/>
                <w:sz w:val="20"/>
              </w:rPr>
              <w:t>(</w:t>
            </w:r>
            <w:r w:rsidR="00A931E1">
              <w:rPr>
                <w:b/>
                <w:color w:val="auto"/>
                <w:sz w:val="20"/>
              </w:rPr>
              <w:t>23</w:t>
            </w:r>
            <w:r w:rsidRPr="006E2B92">
              <w:rPr>
                <w:b/>
                <w:color w:val="auto"/>
                <w:sz w:val="20"/>
              </w:rPr>
              <w:t>,</w:t>
            </w:r>
            <w:r w:rsidR="00A931E1">
              <w:rPr>
                <w:b/>
                <w:color w:val="auto"/>
                <w:sz w:val="20"/>
              </w:rPr>
              <w:t>465</w:t>
            </w:r>
            <w:r w:rsidRPr="006E2B92">
              <w:rPr>
                <w:b/>
                <w:color w:val="auto"/>
                <w:sz w:val="20"/>
              </w:rPr>
              <w:t>)</w:t>
            </w:r>
          </w:p>
        </w:tc>
        <w:tc>
          <w:tcPr>
            <w:tcW w:w="1890" w:type="dxa"/>
            <w:tcBorders>
              <w:left w:val="single" w:sz="4" w:space="0" w:color="auto"/>
              <w:right w:val="single" w:sz="4" w:space="0" w:color="auto"/>
            </w:tcBorders>
            <w:shd w:val="clear" w:color="auto" w:fill="auto"/>
          </w:tcPr>
          <w:p w:rsidR="00595106" w:rsidRPr="00A92A2D" w:rsidRDefault="00595106" w:rsidP="00BC69C7">
            <w:pPr>
              <w:pStyle w:val="BodyText"/>
              <w:ind w:right="-450" w:hanging="108"/>
              <w:jc w:val="center"/>
              <w:rPr>
                <w:color w:val="auto"/>
                <w:sz w:val="20"/>
              </w:rPr>
            </w:pPr>
            <w:r>
              <w:rPr>
                <w:color w:val="auto"/>
                <w:sz w:val="20"/>
              </w:rPr>
              <w:t xml:space="preserve">  </w:t>
            </w:r>
            <w:r w:rsidRPr="00A92A2D">
              <w:rPr>
                <w:color w:val="auto"/>
                <w:sz w:val="20"/>
              </w:rPr>
              <w:t>(18,855)</w:t>
            </w:r>
          </w:p>
        </w:tc>
      </w:tr>
      <w:tr w:rsidR="00595106" w:rsidRPr="00BB59E8" w:rsidTr="00655CCF">
        <w:tc>
          <w:tcPr>
            <w:tcW w:w="2970" w:type="dxa"/>
            <w:tcBorders>
              <w:right w:val="single" w:sz="4" w:space="0" w:color="auto"/>
            </w:tcBorders>
            <w:shd w:val="clear" w:color="auto" w:fill="auto"/>
          </w:tcPr>
          <w:p w:rsidR="00595106" w:rsidRPr="00BB59E8" w:rsidRDefault="00AC7DB9" w:rsidP="002E2A4C">
            <w:pPr>
              <w:pStyle w:val="BodyText"/>
              <w:ind w:right="-450" w:hanging="1800"/>
              <w:jc w:val="left"/>
              <w:rPr>
                <w:color w:val="auto"/>
                <w:sz w:val="20"/>
              </w:rPr>
            </w:pPr>
            <w:proofErr w:type="spellStart"/>
            <w:r>
              <w:rPr>
                <w:color w:val="auto"/>
                <w:sz w:val="20"/>
              </w:rPr>
              <w:t>Rehklhhklh</w:t>
            </w:r>
            <w:proofErr w:type="spellEnd"/>
            <w:r>
              <w:rPr>
                <w:color w:val="auto"/>
                <w:sz w:val="20"/>
              </w:rPr>
              <w:t xml:space="preserve">                   Continu</w:t>
            </w:r>
            <w:r w:rsidR="002E2A4C">
              <w:rPr>
                <w:color w:val="auto"/>
                <w:sz w:val="20"/>
              </w:rPr>
              <w:t>ing</w:t>
            </w:r>
            <w:r>
              <w:rPr>
                <w:color w:val="auto"/>
                <w:sz w:val="20"/>
              </w:rPr>
              <w:t xml:space="preserve"> operation</w:t>
            </w:r>
            <w:r w:rsidR="005A7AE7">
              <w:rPr>
                <w:color w:val="auto"/>
                <w:sz w:val="20"/>
              </w:rPr>
              <w:t>s</w:t>
            </w:r>
          </w:p>
        </w:tc>
        <w:tc>
          <w:tcPr>
            <w:tcW w:w="1170" w:type="dxa"/>
            <w:tcBorders>
              <w:top w:val="single" w:sz="8" w:space="0" w:color="auto"/>
              <w:left w:val="single" w:sz="4" w:space="0" w:color="auto"/>
              <w:right w:val="single" w:sz="4" w:space="0" w:color="auto"/>
            </w:tcBorders>
            <w:shd w:val="clear" w:color="auto" w:fill="auto"/>
          </w:tcPr>
          <w:p w:rsidR="00595106" w:rsidRPr="006E2B92" w:rsidRDefault="00595106" w:rsidP="005542FE">
            <w:pPr>
              <w:pStyle w:val="BodyText"/>
              <w:ind w:right="-450" w:hanging="108"/>
              <w:rPr>
                <w:b/>
                <w:color w:val="auto"/>
                <w:sz w:val="20"/>
              </w:rPr>
            </w:pPr>
            <w:r w:rsidRPr="006E2B92">
              <w:rPr>
                <w:b/>
                <w:color w:val="auto"/>
                <w:sz w:val="20"/>
              </w:rPr>
              <w:t xml:space="preserve">    </w:t>
            </w:r>
            <w:r w:rsidR="005542FE">
              <w:rPr>
                <w:b/>
                <w:color w:val="auto"/>
                <w:sz w:val="20"/>
              </w:rPr>
              <w:t>639,757</w:t>
            </w:r>
          </w:p>
        </w:tc>
        <w:tc>
          <w:tcPr>
            <w:tcW w:w="1890" w:type="dxa"/>
            <w:tcBorders>
              <w:top w:val="single" w:sz="8" w:space="0" w:color="auto"/>
              <w:left w:val="single" w:sz="4" w:space="0" w:color="auto"/>
              <w:right w:val="single" w:sz="4" w:space="0" w:color="auto"/>
            </w:tcBorders>
            <w:shd w:val="clear" w:color="auto" w:fill="auto"/>
          </w:tcPr>
          <w:p w:rsidR="00595106" w:rsidRPr="00CD3426" w:rsidRDefault="00595106" w:rsidP="005542FE">
            <w:pPr>
              <w:pStyle w:val="BodyText"/>
              <w:ind w:right="-450" w:hanging="108"/>
              <w:rPr>
                <w:color w:val="auto"/>
                <w:sz w:val="20"/>
              </w:rPr>
            </w:pPr>
            <w:r w:rsidRPr="00CD3426">
              <w:rPr>
                <w:color w:val="auto"/>
                <w:sz w:val="20"/>
              </w:rPr>
              <w:t xml:space="preserve">       </w:t>
            </w:r>
            <w:r>
              <w:rPr>
                <w:color w:val="auto"/>
                <w:sz w:val="20"/>
              </w:rPr>
              <w:t xml:space="preserve">       </w:t>
            </w:r>
            <w:r w:rsidR="005542FE">
              <w:rPr>
                <w:color w:val="auto"/>
                <w:sz w:val="20"/>
              </w:rPr>
              <w:t>501,445</w:t>
            </w:r>
          </w:p>
        </w:tc>
        <w:tc>
          <w:tcPr>
            <w:tcW w:w="1170" w:type="dxa"/>
            <w:tcBorders>
              <w:top w:val="single" w:sz="8" w:space="0" w:color="auto"/>
              <w:left w:val="single" w:sz="4" w:space="0" w:color="auto"/>
              <w:right w:val="single" w:sz="4" w:space="0" w:color="auto"/>
            </w:tcBorders>
            <w:shd w:val="clear" w:color="auto" w:fill="auto"/>
          </w:tcPr>
          <w:p w:rsidR="00595106" w:rsidRPr="006E2B92" w:rsidRDefault="00595106" w:rsidP="005542FE">
            <w:pPr>
              <w:pStyle w:val="BodyText"/>
              <w:ind w:right="-450" w:hanging="108"/>
              <w:rPr>
                <w:b/>
                <w:color w:val="auto"/>
                <w:sz w:val="20"/>
              </w:rPr>
            </w:pPr>
            <w:r w:rsidRPr="006E2B92">
              <w:rPr>
                <w:b/>
                <w:color w:val="auto"/>
                <w:sz w:val="20"/>
              </w:rPr>
              <w:t xml:space="preserve"> </w:t>
            </w:r>
            <w:r w:rsidR="006E2B92" w:rsidRPr="006E2B92">
              <w:rPr>
                <w:b/>
                <w:color w:val="auto"/>
                <w:sz w:val="20"/>
              </w:rPr>
              <w:t xml:space="preserve">  1,</w:t>
            </w:r>
            <w:r w:rsidR="005542FE">
              <w:rPr>
                <w:b/>
                <w:color w:val="auto"/>
                <w:sz w:val="20"/>
              </w:rPr>
              <w:t>214</w:t>
            </w:r>
            <w:r w:rsidRPr="006E2B92">
              <w:rPr>
                <w:b/>
                <w:color w:val="auto"/>
                <w:sz w:val="20"/>
              </w:rPr>
              <w:t>,</w:t>
            </w:r>
            <w:r w:rsidR="005542FE">
              <w:rPr>
                <w:b/>
                <w:color w:val="auto"/>
                <w:sz w:val="20"/>
              </w:rPr>
              <w:t>431</w:t>
            </w:r>
          </w:p>
        </w:tc>
        <w:tc>
          <w:tcPr>
            <w:tcW w:w="1890" w:type="dxa"/>
            <w:tcBorders>
              <w:top w:val="single" w:sz="8" w:space="0" w:color="auto"/>
              <w:left w:val="single" w:sz="4" w:space="0" w:color="auto"/>
              <w:right w:val="single" w:sz="4" w:space="0" w:color="auto"/>
            </w:tcBorders>
            <w:shd w:val="clear" w:color="auto" w:fill="auto"/>
          </w:tcPr>
          <w:p w:rsidR="00595106" w:rsidRPr="00A92A2D" w:rsidRDefault="005542FE" w:rsidP="005542FE">
            <w:pPr>
              <w:pStyle w:val="BodyText"/>
              <w:ind w:right="-450" w:hanging="108"/>
              <w:rPr>
                <w:color w:val="auto"/>
                <w:sz w:val="20"/>
              </w:rPr>
            </w:pPr>
            <w:r>
              <w:rPr>
                <w:color w:val="auto"/>
                <w:sz w:val="20"/>
              </w:rPr>
              <w:t xml:space="preserve">               993,557</w:t>
            </w:r>
          </w:p>
        </w:tc>
      </w:tr>
      <w:tr w:rsidR="005542FE" w:rsidRPr="00BB59E8" w:rsidTr="00655CCF">
        <w:tc>
          <w:tcPr>
            <w:tcW w:w="2970" w:type="dxa"/>
            <w:tcBorders>
              <w:right w:val="single" w:sz="4" w:space="0" w:color="auto"/>
            </w:tcBorders>
            <w:shd w:val="clear" w:color="auto" w:fill="auto"/>
          </w:tcPr>
          <w:p w:rsidR="005542FE" w:rsidRPr="004A435D" w:rsidRDefault="005542FE" w:rsidP="005542FE">
            <w:pPr>
              <w:pStyle w:val="BodyText"/>
              <w:ind w:left="72" w:right="-108"/>
              <w:jc w:val="left"/>
              <w:rPr>
                <w:color w:val="auto"/>
                <w:sz w:val="20"/>
              </w:rPr>
            </w:pPr>
            <w:r w:rsidRPr="002E2A4C">
              <w:rPr>
                <w:b/>
                <w:color w:val="auto"/>
                <w:sz w:val="20"/>
              </w:rPr>
              <w:t>Discontinued operation - Card</w:t>
            </w:r>
            <w:r w:rsidRPr="004A435D">
              <w:rPr>
                <w:color w:val="auto"/>
                <w:sz w:val="20"/>
              </w:rPr>
              <w:t xml:space="preserve"> </w:t>
            </w:r>
            <w:r w:rsidRPr="009B674C">
              <w:rPr>
                <w:b/>
                <w:color w:val="auto"/>
                <w:sz w:val="20"/>
              </w:rPr>
              <w:t>and Payment Services</w:t>
            </w:r>
          </w:p>
        </w:tc>
        <w:tc>
          <w:tcPr>
            <w:tcW w:w="1170" w:type="dxa"/>
            <w:tcBorders>
              <w:left w:val="single" w:sz="4" w:space="0" w:color="auto"/>
              <w:bottom w:val="single" w:sz="8" w:space="0" w:color="auto"/>
              <w:right w:val="single" w:sz="4" w:space="0" w:color="auto"/>
            </w:tcBorders>
            <w:shd w:val="clear" w:color="auto" w:fill="auto"/>
          </w:tcPr>
          <w:p w:rsidR="005542FE" w:rsidRDefault="005542FE" w:rsidP="005542FE">
            <w:pPr>
              <w:pStyle w:val="BodyText"/>
              <w:ind w:right="-450" w:hanging="108"/>
              <w:rPr>
                <w:b/>
                <w:color w:val="auto"/>
                <w:sz w:val="20"/>
              </w:rPr>
            </w:pPr>
            <w:r w:rsidRPr="006E2B92">
              <w:rPr>
                <w:b/>
                <w:color w:val="auto"/>
                <w:sz w:val="20"/>
              </w:rPr>
              <w:t xml:space="preserve">      </w:t>
            </w:r>
          </w:p>
          <w:p w:rsidR="005542FE" w:rsidRPr="006E2B92" w:rsidRDefault="005542FE" w:rsidP="005542FE">
            <w:pPr>
              <w:pStyle w:val="BodyText"/>
              <w:ind w:right="-450" w:hanging="108"/>
              <w:rPr>
                <w:b/>
                <w:color w:val="auto"/>
                <w:sz w:val="20"/>
              </w:rPr>
            </w:pPr>
            <w:r>
              <w:rPr>
                <w:b/>
                <w:color w:val="auto"/>
                <w:sz w:val="20"/>
              </w:rPr>
              <w:t xml:space="preserve">      </w:t>
            </w:r>
            <w:r w:rsidRPr="006E2B92">
              <w:rPr>
                <w:b/>
                <w:color w:val="auto"/>
                <w:sz w:val="20"/>
              </w:rPr>
              <w:t>61,</w:t>
            </w:r>
            <w:r>
              <w:rPr>
                <w:b/>
                <w:color w:val="auto"/>
                <w:sz w:val="20"/>
              </w:rPr>
              <w:t>332</w:t>
            </w:r>
          </w:p>
        </w:tc>
        <w:tc>
          <w:tcPr>
            <w:tcW w:w="1890" w:type="dxa"/>
            <w:tcBorders>
              <w:left w:val="single" w:sz="4" w:space="0" w:color="auto"/>
              <w:bottom w:val="single" w:sz="8" w:space="0" w:color="auto"/>
              <w:right w:val="single" w:sz="4" w:space="0" w:color="auto"/>
            </w:tcBorders>
            <w:shd w:val="clear" w:color="auto" w:fill="auto"/>
          </w:tcPr>
          <w:p w:rsidR="005542FE" w:rsidRDefault="005542FE" w:rsidP="00793760">
            <w:pPr>
              <w:pStyle w:val="BodyText"/>
              <w:ind w:right="-450" w:hanging="108"/>
              <w:jc w:val="center"/>
              <w:rPr>
                <w:color w:val="auto"/>
                <w:sz w:val="20"/>
              </w:rPr>
            </w:pPr>
          </w:p>
          <w:p w:rsidR="005542FE" w:rsidRPr="00CD3426" w:rsidRDefault="005542FE" w:rsidP="00793760">
            <w:pPr>
              <w:pStyle w:val="BodyText"/>
              <w:ind w:right="-450" w:hanging="108"/>
              <w:jc w:val="center"/>
              <w:rPr>
                <w:color w:val="auto"/>
                <w:sz w:val="20"/>
              </w:rPr>
            </w:pPr>
            <w:r>
              <w:rPr>
                <w:color w:val="auto"/>
                <w:sz w:val="20"/>
              </w:rPr>
              <w:t xml:space="preserve"> 59,122</w:t>
            </w:r>
          </w:p>
        </w:tc>
        <w:tc>
          <w:tcPr>
            <w:tcW w:w="1170" w:type="dxa"/>
            <w:tcBorders>
              <w:left w:val="single" w:sz="4" w:space="0" w:color="auto"/>
              <w:bottom w:val="single" w:sz="8" w:space="0" w:color="auto"/>
              <w:right w:val="single" w:sz="4" w:space="0" w:color="auto"/>
            </w:tcBorders>
            <w:shd w:val="clear" w:color="auto" w:fill="auto"/>
          </w:tcPr>
          <w:p w:rsidR="005542FE" w:rsidRDefault="005542FE" w:rsidP="00793760">
            <w:pPr>
              <w:pStyle w:val="BodyText"/>
              <w:ind w:right="-450" w:hanging="108"/>
              <w:rPr>
                <w:b/>
                <w:color w:val="auto"/>
                <w:sz w:val="20"/>
              </w:rPr>
            </w:pPr>
            <w:r w:rsidRPr="006E2B92">
              <w:rPr>
                <w:b/>
                <w:color w:val="auto"/>
                <w:sz w:val="20"/>
              </w:rPr>
              <w:t xml:space="preserve">      </w:t>
            </w:r>
          </w:p>
          <w:p w:rsidR="005542FE" w:rsidRPr="006E2B92" w:rsidRDefault="005542FE" w:rsidP="00793760">
            <w:pPr>
              <w:pStyle w:val="BodyText"/>
              <w:ind w:right="-450" w:hanging="108"/>
              <w:rPr>
                <w:b/>
                <w:color w:val="auto"/>
                <w:sz w:val="20"/>
              </w:rPr>
            </w:pPr>
            <w:r>
              <w:rPr>
                <w:b/>
                <w:color w:val="auto"/>
                <w:sz w:val="20"/>
              </w:rPr>
              <w:t xml:space="preserve">      </w:t>
            </w:r>
            <w:r w:rsidRPr="006E2B92">
              <w:rPr>
                <w:b/>
                <w:color w:val="auto"/>
                <w:sz w:val="20"/>
              </w:rPr>
              <w:t>118,841</w:t>
            </w:r>
          </w:p>
        </w:tc>
        <w:tc>
          <w:tcPr>
            <w:tcW w:w="1890" w:type="dxa"/>
            <w:tcBorders>
              <w:left w:val="single" w:sz="4" w:space="0" w:color="auto"/>
              <w:bottom w:val="single" w:sz="8" w:space="0" w:color="auto"/>
              <w:right w:val="single" w:sz="4" w:space="0" w:color="auto"/>
            </w:tcBorders>
            <w:shd w:val="clear" w:color="auto" w:fill="auto"/>
          </w:tcPr>
          <w:p w:rsidR="005542FE" w:rsidRDefault="005542FE" w:rsidP="00793760">
            <w:pPr>
              <w:pStyle w:val="BodyText"/>
              <w:ind w:right="-450" w:hanging="108"/>
              <w:jc w:val="center"/>
              <w:rPr>
                <w:color w:val="auto"/>
                <w:sz w:val="20"/>
              </w:rPr>
            </w:pPr>
          </w:p>
          <w:p w:rsidR="005542FE" w:rsidRPr="00A92A2D" w:rsidRDefault="005542FE" w:rsidP="005542FE">
            <w:pPr>
              <w:pStyle w:val="BodyText"/>
              <w:ind w:right="-450" w:hanging="108"/>
              <w:jc w:val="center"/>
              <w:rPr>
                <w:color w:val="auto"/>
                <w:sz w:val="20"/>
              </w:rPr>
            </w:pPr>
            <w:r>
              <w:rPr>
                <w:color w:val="auto"/>
                <w:sz w:val="20"/>
              </w:rPr>
              <w:t xml:space="preserve"> </w:t>
            </w:r>
            <w:r w:rsidRPr="00A92A2D">
              <w:rPr>
                <w:color w:val="auto"/>
                <w:sz w:val="20"/>
              </w:rPr>
              <w:t>11</w:t>
            </w:r>
            <w:r>
              <w:rPr>
                <w:color w:val="auto"/>
                <w:sz w:val="20"/>
              </w:rPr>
              <w:t>6</w:t>
            </w:r>
            <w:r w:rsidRPr="00A92A2D">
              <w:rPr>
                <w:color w:val="auto"/>
                <w:sz w:val="20"/>
              </w:rPr>
              <w:t>,</w:t>
            </w:r>
            <w:r>
              <w:rPr>
                <w:color w:val="auto"/>
                <w:sz w:val="20"/>
              </w:rPr>
              <w:t>550</w:t>
            </w:r>
          </w:p>
        </w:tc>
      </w:tr>
      <w:tr w:rsidR="005542FE" w:rsidRPr="00BB59E8" w:rsidTr="00655CCF">
        <w:tc>
          <w:tcPr>
            <w:tcW w:w="2970" w:type="dxa"/>
            <w:tcBorders>
              <w:right w:val="single" w:sz="4" w:space="0" w:color="auto"/>
            </w:tcBorders>
            <w:shd w:val="clear" w:color="auto" w:fill="auto"/>
          </w:tcPr>
          <w:p w:rsidR="005542FE" w:rsidRPr="00AC7DB9" w:rsidRDefault="00AC7DB9" w:rsidP="004231A1">
            <w:pPr>
              <w:pStyle w:val="BodyText"/>
              <w:ind w:right="-450" w:hanging="1800"/>
              <w:rPr>
                <w:b/>
                <w:color w:val="auto"/>
                <w:sz w:val="20"/>
              </w:rPr>
            </w:pPr>
            <w:r>
              <w:rPr>
                <w:color w:val="auto"/>
                <w:sz w:val="20"/>
              </w:rPr>
              <w:t xml:space="preserve">                                   </w:t>
            </w:r>
            <w:r w:rsidRPr="00AC7DB9">
              <w:rPr>
                <w:b/>
                <w:color w:val="auto"/>
                <w:sz w:val="20"/>
              </w:rPr>
              <w:t>Total revenue</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5542FE" w:rsidRPr="006E2B92" w:rsidRDefault="005542FE" w:rsidP="00793760">
            <w:pPr>
              <w:pStyle w:val="BodyText"/>
              <w:ind w:right="-450" w:hanging="108"/>
              <w:rPr>
                <w:b/>
                <w:color w:val="auto"/>
                <w:sz w:val="20"/>
              </w:rPr>
            </w:pPr>
            <w:r w:rsidRPr="006E2B92">
              <w:rPr>
                <w:b/>
                <w:color w:val="auto"/>
                <w:sz w:val="20"/>
              </w:rPr>
              <w:t xml:space="preserve">    701,089</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5542FE" w:rsidRPr="00CD3426" w:rsidRDefault="005542FE" w:rsidP="005542FE">
            <w:pPr>
              <w:pStyle w:val="BodyText"/>
              <w:ind w:right="-450" w:hanging="108"/>
              <w:rPr>
                <w:color w:val="auto"/>
                <w:sz w:val="20"/>
              </w:rPr>
            </w:pPr>
            <w:r w:rsidRPr="00CD3426">
              <w:rPr>
                <w:color w:val="auto"/>
                <w:sz w:val="20"/>
              </w:rPr>
              <w:t xml:space="preserve">       </w:t>
            </w:r>
            <w:r>
              <w:rPr>
                <w:color w:val="auto"/>
                <w:sz w:val="20"/>
              </w:rPr>
              <w:t xml:space="preserve">       </w:t>
            </w:r>
            <w:r w:rsidRPr="00CD3426">
              <w:rPr>
                <w:color w:val="auto"/>
                <w:sz w:val="20"/>
              </w:rPr>
              <w:t>56</w:t>
            </w:r>
            <w:r>
              <w:rPr>
                <w:color w:val="auto"/>
                <w:sz w:val="20"/>
              </w:rPr>
              <w:t>0</w:t>
            </w:r>
            <w:r w:rsidRPr="00CD3426">
              <w:rPr>
                <w:color w:val="auto"/>
                <w:sz w:val="20"/>
              </w:rPr>
              <w:t>,</w:t>
            </w:r>
            <w:r>
              <w:rPr>
                <w:color w:val="auto"/>
                <w:sz w:val="20"/>
              </w:rPr>
              <w:t>567</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5542FE" w:rsidRPr="006E2B92" w:rsidRDefault="005542FE" w:rsidP="00793760">
            <w:pPr>
              <w:pStyle w:val="BodyText"/>
              <w:ind w:right="-450" w:hanging="108"/>
              <w:rPr>
                <w:b/>
                <w:color w:val="auto"/>
                <w:sz w:val="20"/>
              </w:rPr>
            </w:pPr>
            <w:r w:rsidRPr="006E2B92">
              <w:rPr>
                <w:b/>
                <w:color w:val="auto"/>
                <w:sz w:val="20"/>
              </w:rPr>
              <w:t xml:space="preserve">   1,333,272</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5542FE" w:rsidRPr="00A92A2D" w:rsidRDefault="005542FE" w:rsidP="005542FE">
            <w:pPr>
              <w:pStyle w:val="BodyText"/>
              <w:ind w:right="-450" w:hanging="108"/>
              <w:rPr>
                <w:color w:val="auto"/>
                <w:sz w:val="20"/>
              </w:rPr>
            </w:pPr>
            <w:r>
              <w:rPr>
                <w:color w:val="auto"/>
                <w:sz w:val="20"/>
              </w:rPr>
              <w:t xml:space="preserve">            </w:t>
            </w:r>
            <w:r w:rsidRPr="00A92A2D">
              <w:rPr>
                <w:color w:val="auto"/>
                <w:sz w:val="20"/>
              </w:rPr>
              <w:t>1,11</w:t>
            </w:r>
            <w:r>
              <w:rPr>
                <w:color w:val="auto"/>
                <w:sz w:val="20"/>
              </w:rPr>
              <w:t>0</w:t>
            </w:r>
            <w:r w:rsidRPr="00A92A2D">
              <w:rPr>
                <w:color w:val="auto"/>
                <w:sz w:val="20"/>
              </w:rPr>
              <w:t>,</w:t>
            </w:r>
            <w:r>
              <w:rPr>
                <w:color w:val="auto"/>
                <w:sz w:val="20"/>
              </w:rPr>
              <w:t>107</w:t>
            </w:r>
          </w:p>
        </w:tc>
      </w:tr>
    </w:tbl>
    <w:p w:rsidR="008E55DA" w:rsidRDefault="008E55DA"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F25806" w:rsidRDefault="00F25806" w:rsidP="00FA5342">
      <w:pPr>
        <w:pStyle w:val="BodyText"/>
        <w:ind w:right="-450"/>
        <w:rPr>
          <w:b/>
          <w:sz w:val="20"/>
        </w:rPr>
      </w:pPr>
    </w:p>
    <w:p w:rsidR="00F25806" w:rsidRDefault="00F25806" w:rsidP="00FA5342">
      <w:pPr>
        <w:pStyle w:val="BodyText"/>
        <w:ind w:right="-450"/>
        <w:rPr>
          <w:b/>
          <w:sz w:val="20"/>
        </w:rPr>
      </w:pPr>
    </w:p>
    <w:p w:rsidR="00F25806" w:rsidRDefault="00F25806" w:rsidP="00FA5342">
      <w:pPr>
        <w:pStyle w:val="BodyText"/>
        <w:ind w:right="-450"/>
        <w:rPr>
          <w:b/>
          <w:sz w:val="20"/>
        </w:rPr>
      </w:pPr>
    </w:p>
    <w:p w:rsidR="00F25806" w:rsidRDefault="00F25806" w:rsidP="00FA5342">
      <w:pPr>
        <w:pStyle w:val="BodyText"/>
        <w:ind w:right="-450"/>
        <w:rPr>
          <w:b/>
          <w:sz w:val="20"/>
        </w:rPr>
      </w:pPr>
    </w:p>
    <w:p w:rsidR="00F25806" w:rsidRDefault="00F25806" w:rsidP="00FA5342">
      <w:pPr>
        <w:pStyle w:val="BodyText"/>
        <w:ind w:right="-450"/>
        <w:rPr>
          <w:b/>
          <w:sz w:val="20"/>
        </w:rPr>
      </w:pPr>
    </w:p>
    <w:p w:rsidR="00F25806" w:rsidRDefault="00F25806" w:rsidP="00FA5342">
      <w:pPr>
        <w:pStyle w:val="BodyText"/>
        <w:ind w:right="-450"/>
        <w:rPr>
          <w:b/>
          <w:sz w:val="20"/>
        </w:rPr>
      </w:pPr>
    </w:p>
    <w:p w:rsidR="00A5081D" w:rsidRDefault="00A5081D" w:rsidP="00FA5342">
      <w:pPr>
        <w:pStyle w:val="BodyText"/>
        <w:ind w:right="-450"/>
        <w:rPr>
          <w:b/>
          <w:sz w:val="20"/>
        </w:rPr>
      </w:pPr>
    </w:p>
    <w:p w:rsidR="00A5081D" w:rsidRDefault="00A5081D" w:rsidP="00FA5342">
      <w:pPr>
        <w:pStyle w:val="BodyText"/>
        <w:ind w:right="-450"/>
        <w:rPr>
          <w:b/>
          <w:sz w:val="20"/>
        </w:rPr>
      </w:pPr>
    </w:p>
    <w:p w:rsidR="00A5081D" w:rsidRPr="00BB59E8" w:rsidRDefault="00A5081D" w:rsidP="00FA5342">
      <w:pPr>
        <w:pStyle w:val="BodyText"/>
        <w:ind w:right="-450"/>
        <w:rPr>
          <w:b/>
          <w:sz w:val="20"/>
        </w:rPr>
      </w:pPr>
    </w:p>
    <w:tbl>
      <w:tblPr>
        <w:tblW w:w="9090" w:type="dxa"/>
        <w:tblInd w:w="828" w:type="dxa"/>
        <w:tblLayout w:type="fixed"/>
        <w:tblLook w:val="0000"/>
      </w:tblPr>
      <w:tblGrid>
        <w:gridCol w:w="2970"/>
        <w:gridCol w:w="1170"/>
        <w:gridCol w:w="1890"/>
        <w:gridCol w:w="1170"/>
        <w:gridCol w:w="1890"/>
      </w:tblGrid>
      <w:tr w:rsidR="00A5081D" w:rsidRPr="00C9517D" w:rsidTr="004E21B0">
        <w:tc>
          <w:tcPr>
            <w:tcW w:w="2970" w:type="dxa"/>
            <w:tcBorders>
              <w:right w:val="single" w:sz="4" w:space="0" w:color="auto"/>
            </w:tcBorders>
          </w:tcPr>
          <w:p w:rsidR="00A5081D" w:rsidRDefault="00A5081D" w:rsidP="004E21B0">
            <w:pPr>
              <w:pStyle w:val="BodyText"/>
              <w:ind w:left="-828" w:right="-450"/>
              <w:rPr>
                <w:sz w:val="20"/>
              </w:rPr>
            </w:pPr>
            <w:r>
              <w:rPr>
                <w:sz w:val="20"/>
              </w:rPr>
              <w:tab/>
            </w:r>
          </w:p>
        </w:tc>
        <w:tc>
          <w:tcPr>
            <w:tcW w:w="3060" w:type="dxa"/>
            <w:gridSpan w:val="2"/>
            <w:tcBorders>
              <w:top w:val="single" w:sz="8" w:space="0" w:color="auto"/>
              <w:left w:val="single" w:sz="4" w:space="0" w:color="auto"/>
              <w:right w:val="single" w:sz="4" w:space="0" w:color="auto"/>
            </w:tcBorders>
          </w:tcPr>
          <w:p w:rsidR="00A5081D" w:rsidRDefault="00A5081D" w:rsidP="00A5081D">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8" w:space="0" w:color="auto"/>
              <w:left w:val="single" w:sz="4" w:space="0" w:color="auto"/>
              <w:right w:val="single" w:sz="4" w:space="0" w:color="auto"/>
            </w:tcBorders>
          </w:tcPr>
          <w:p w:rsidR="00A5081D" w:rsidRDefault="00A5081D" w:rsidP="004E21B0">
            <w:pPr>
              <w:pStyle w:val="BodyText"/>
              <w:ind w:right="-108" w:hanging="108"/>
              <w:jc w:val="center"/>
              <w:rPr>
                <w:b/>
                <w:sz w:val="18"/>
              </w:rPr>
            </w:pPr>
            <w:r>
              <w:rPr>
                <w:b/>
                <w:sz w:val="18"/>
              </w:rPr>
              <w:t>CUMULATIVE QUARTER</w:t>
            </w:r>
          </w:p>
        </w:tc>
      </w:tr>
      <w:tr w:rsidR="00A5081D" w:rsidRPr="00C9517D" w:rsidTr="00655CCF">
        <w:tc>
          <w:tcPr>
            <w:tcW w:w="2970" w:type="dxa"/>
            <w:tcBorders>
              <w:right w:val="single" w:sz="4" w:space="0" w:color="auto"/>
            </w:tcBorders>
          </w:tcPr>
          <w:p w:rsidR="00A5081D" w:rsidRDefault="00A5081D" w:rsidP="004E21B0">
            <w:pPr>
              <w:pStyle w:val="BodyText"/>
              <w:ind w:left="-108" w:right="-450" w:hanging="1800"/>
              <w:rPr>
                <w:b/>
                <w:sz w:val="20"/>
              </w:rPr>
            </w:pPr>
          </w:p>
        </w:tc>
        <w:tc>
          <w:tcPr>
            <w:tcW w:w="1170" w:type="dxa"/>
            <w:tcBorders>
              <w:top w:val="single" w:sz="8" w:space="0" w:color="auto"/>
              <w:left w:val="single" w:sz="4" w:space="0" w:color="auto"/>
              <w:right w:val="single" w:sz="4" w:space="0" w:color="auto"/>
            </w:tcBorders>
          </w:tcPr>
          <w:p w:rsidR="00A5081D" w:rsidRPr="004B01DB" w:rsidRDefault="00A5081D" w:rsidP="004E21B0">
            <w:pPr>
              <w:pStyle w:val="BodyText"/>
              <w:tabs>
                <w:tab w:val="left" w:pos="360"/>
                <w:tab w:val="left" w:pos="540"/>
                <w:tab w:val="left" w:pos="630"/>
                <w:tab w:val="left" w:pos="1080"/>
              </w:tabs>
              <w:ind w:right="-108" w:hanging="108"/>
              <w:jc w:val="center"/>
              <w:rPr>
                <w:b/>
                <w:sz w:val="18"/>
              </w:rPr>
            </w:pPr>
            <w:r w:rsidRPr="004B01DB">
              <w:rPr>
                <w:b/>
                <w:sz w:val="18"/>
              </w:rPr>
              <w:t>CURRENT</w:t>
            </w:r>
          </w:p>
          <w:p w:rsidR="00A5081D" w:rsidRPr="004B01DB" w:rsidRDefault="00A5081D" w:rsidP="004E21B0">
            <w:pPr>
              <w:pStyle w:val="BodyText"/>
              <w:tabs>
                <w:tab w:val="left" w:pos="360"/>
                <w:tab w:val="left" w:pos="540"/>
                <w:tab w:val="left" w:pos="630"/>
                <w:tab w:val="left" w:pos="1080"/>
              </w:tabs>
              <w:ind w:right="-108" w:hanging="108"/>
              <w:jc w:val="center"/>
              <w:rPr>
                <w:b/>
                <w:sz w:val="18"/>
              </w:rPr>
            </w:pPr>
            <w:r w:rsidRPr="004B01DB">
              <w:rPr>
                <w:b/>
                <w:sz w:val="18"/>
              </w:rPr>
              <w:t>YEAR</w:t>
            </w:r>
          </w:p>
          <w:p w:rsidR="00A5081D" w:rsidRPr="004B01DB" w:rsidRDefault="00A5081D" w:rsidP="004E21B0">
            <w:pPr>
              <w:pStyle w:val="BodyText"/>
              <w:tabs>
                <w:tab w:val="left" w:pos="360"/>
                <w:tab w:val="left" w:pos="540"/>
                <w:tab w:val="left" w:pos="630"/>
                <w:tab w:val="left" w:pos="1080"/>
              </w:tabs>
              <w:ind w:right="-108" w:hanging="108"/>
              <w:jc w:val="center"/>
              <w:rPr>
                <w:b/>
                <w:sz w:val="18"/>
              </w:rPr>
            </w:pPr>
            <w:r w:rsidRPr="004B01DB">
              <w:rPr>
                <w:b/>
                <w:sz w:val="18"/>
              </w:rPr>
              <w:t>QUARTER</w:t>
            </w:r>
          </w:p>
          <w:p w:rsidR="00A5081D" w:rsidRPr="004B01DB" w:rsidRDefault="00A5081D" w:rsidP="004E21B0">
            <w:pPr>
              <w:pStyle w:val="BodyText"/>
              <w:tabs>
                <w:tab w:val="left" w:pos="360"/>
                <w:tab w:val="left" w:pos="540"/>
                <w:tab w:val="left" w:pos="630"/>
                <w:tab w:val="left" w:pos="1080"/>
              </w:tabs>
              <w:ind w:right="-108" w:hanging="108"/>
              <w:jc w:val="center"/>
              <w:rPr>
                <w:b/>
                <w:sz w:val="18"/>
              </w:rPr>
            </w:pPr>
            <w:r w:rsidRPr="004B01DB">
              <w:rPr>
                <w:b/>
                <w:sz w:val="18"/>
              </w:rPr>
              <w:t>3</w:t>
            </w:r>
            <w:r>
              <w:rPr>
                <w:b/>
                <w:sz w:val="18"/>
              </w:rPr>
              <w:t>0</w:t>
            </w:r>
            <w:r w:rsidRPr="004B01DB">
              <w:rPr>
                <w:b/>
                <w:sz w:val="18"/>
              </w:rPr>
              <w:t>/</w:t>
            </w:r>
            <w:r>
              <w:rPr>
                <w:b/>
                <w:sz w:val="18"/>
              </w:rPr>
              <w:t>6</w:t>
            </w:r>
            <w:r w:rsidRPr="004B01DB">
              <w:rPr>
                <w:b/>
                <w:sz w:val="18"/>
              </w:rPr>
              <w:t>/</w:t>
            </w:r>
            <w:r>
              <w:rPr>
                <w:b/>
                <w:sz w:val="18"/>
              </w:rPr>
              <w:t>2012</w:t>
            </w:r>
          </w:p>
          <w:p w:rsidR="00A5081D" w:rsidRPr="004B01DB" w:rsidRDefault="00A5081D" w:rsidP="004E21B0">
            <w:pPr>
              <w:pStyle w:val="BodyText"/>
              <w:tabs>
                <w:tab w:val="left" w:pos="360"/>
                <w:tab w:val="left" w:pos="540"/>
                <w:tab w:val="left" w:pos="630"/>
                <w:tab w:val="left" w:pos="1080"/>
              </w:tabs>
              <w:ind w:right="-108" w:hanging="108"/>
              <w:jc w:val="center"/>
              <w:rPr>
                <w:b/>
                <w:sz w:val="18"/>
              </w:rPr>
            </w:pPr>
            <w:r w:rsidRPr="004B01DB">
              <w:rPr>
                <w:b/>
                <w:sz w:val="18"/>
              </w:rPr>
              <w:t>RM’000</w:t>
            </w:r>
          </w:p>
        </w:tc>
        <w:tc>
          <w:tcPr>
            <w:tcW w:w="1890" w:type="dxa"/>
            <w:tcBorders>
              <w:top w:val="single" w:sz="8" w:space="0" w:color="auto"/>
              <w:left w:val="single" w:sz="4" w:space="0" w:color="auto"/>
              <w:right w:val="single" w:sz="4" w:space="0" w:color="auto"/>
            </w:tcBorders>
          </w:tcPr>
          <w:p w:rsidR="00A5081D" w:rsidRPr="00A366C5" w:rsidRDefault="00A5081D" w:rsidP="004E21B0">
            <w:pPr>
              <w:pStyle w:val="BodyText"/>
              <w:tabs>
                <w:tab w:val="left" w:pos="360"/>
                <w:tab w:val="left" w:pos="540"/>
                <w:tab w:val="left" w:pos="630"/>
                <w:tab w:val="left" w:pos="1080"/>
              </w:tabs>
              <w:ind w:right="-108" w:hanging="108"/>
              <w:jc w:val="center"/>
              <w:rPr>
                <w:b/>
                <w:sz w:val="18"/>
              </w:rPr>
            </w:pPr>
            <w:r w:rsidRPr="00A366C5">
              <w:rPr>
                <w:b/>
                <w:sz w:val="18"/>
              </w:rPr>
              <w:t>PRECEDING YEAR</w:t>
            </w:r>
          </w:p>
          <w:p w:rsidR="00A5081D" w:rsidRPr="00A366C5" w:rsidRDefault="00A5081D" w:rsidP="004E21B0">
            <w:pPr>
              <w:pStyle w:val="BodyText"/>
              <w:tabs>
                <w:tab w:val="left" w:pos="360"/>
                <w:tab w:val="left" w:pos="540"/>
                <w:tab w:val="left" w:pos="630"/>
                <w:tab w:val="left" w:pos="1080"/>
              </w:tabs>
              <w:ind w:right="-108" w:hanging="108"/>
              <w:jc w:val="center"/>
              <w:rPr>
                <w:b/>
                <w:sz w:val="18"/>
              </w:rPr>
            </w:pPr>
            <w:r w:rsidRPr="00A366C5">
              <w:rPr>
                <w:b/>
                <w:sz w:val="18"/>
              </w:rPr>
              <w:t>CORRESPONDING</w:t>
            </w:r>
          </w:p>
          <w:p w:rsidR="00A5081D" w:rsidRPr="00A366C5" w:rsidRDefault="00A5081D" w:rsidP="004E21B0">
            <w:pPr>
              <w:pStyle w:val="BodyText"/>
              <w:tabs>
                <w:tab w:val="left" w:pos="360"/>
                <w:tab w:val="left" w:pos="540"/>
                <w:tab w:val="left" w:pos="630"/>
                <w:tab w:val="left" w:pos="1080"/>
              </w:tabs>
              <w:ind w:right="-108" w:hanging="108"/>
              <w:jc w:val="center"/>
              <w:rPr>
                <w:b/>
                <w:sz w:val="18"/>
              </w:rPr>
            </w:pPr>
            <w:r w:rsidRPr="00A366C5">
              <w:rPr>
                <w:b/>
                <w:sz w:val="18"/>
              </w:rPr>
              <w:t>QUARTER</w:t>
            </w:r>
          </w:p>
          <w:p w:rsidR="00A5081D" w:rsidRPr="00A366C5" w:rsidRDefault="00A5081D" w:rsidP="004E21B0">
            <w:pPr>
              <w:pStyle w:val="BodyText"/>
              <w:tabs>
                <w:tab w:val="left" w:pos="360"/>
                <w:tab w:val="left" w:pos="540"/>
                <w:tab w:val="left" w:pos="630"/>
                <w:tab w:val="left" w:pos="1080"/>
              </w:tabs>
              <w:ind w:right="-108" w:hanging="108"/>
              <w:jc w:val="center"/>
              <w:rPr>
                <w:b/>
                <w:sz w:val="18"/>
              </w:rPr>
            </w:pPr>
            <w:r w:rsidRPr="00A366C5">
              <w:rPr>
                <w:b/>
                <w:sz w:val="18"/>
              </w:rPr>
              <w:t>3</w:t>
            </w:r>
            <w:r>
              <w:rPr>
                <w:b/>
                <w:sz w:val="18"/>
              </w:rPr>
              <w:t>0</w:t>
            </w:r>
            <w:r w:rsidRPr="00A366C5">
              <w:rPr>
                <w:b/>
                <w:sz w:val="18"/>
              </w:rPr>
              <w:t>/</w:t>
            </w:r>
            <w:r>
              <w:rPr>
                <w:b/>
                <w:sz w:val="18"/>
              </w:rPr>
              <w:t>6</w:t>
            </w:r>
            <w:r w:rsidRPr="00A366C5">
              <w:rPr>
                <w:b/>
                <w:sz w:val="18"/>
              </w:rPr>
              <w:t>/20</w:t>
            </w:r>
            <w:r>
              <w:rPr>
                <w:b/>
                <w:sz w:val="18"/>
              </w:rPr>
              <w:t>11</w:t>
            </w:r>
          </w:p>
          <w:p w:rsidR="00A5081D" w:rsidRPr="00A366C5" w:rsidRDefault="00A5081D" w:rsidP="004E21B0">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8" w:space="0" w:color="auto"/>
              <w:left w:val="single" w:sz="4" w:space="0" w:color="auto"/>
              <w:right w:val="single" w:sz="4" w:space="0" w:color="auto"/>
            </w:tcBorders>
          </w:tcPr>
          <w:p w:rsidR="00A5081D" w:rsidRPr="004E3D31" w:rsidRDefault="00A5081D" w:rsidP="004E21B0">
            <w:pPr>
              <w:pStyle w:val="BodyText"/>
              <w:tabs>
                <w:tab w:val="left" w:pos="360"/>
                <w:tab w:val="left" w:pos="540"/>
                <w:tab w:val="left" w:pos="630"/>
                <w:tab w:val="left" w:pos="1080"/>
              </w:tabs>
              <w:ind w:right="-108" w:hanging="108"/>
              <w:jc w:val="center"/>
              <w:rPr>
                <w:b/>
                <w:sz w:val="18"/>
              </w:rPr>
            </w:pPr>
            <w:r w:rsidRPr="004E3D31">
              <w:rPr>
                <w:b/>
                <w:sz w:val="18"/>
              </w:rPr>
              <w:t>CURRENT</w:t>
            </w:r>
          </w:p>
          <w:p w:rsidR="00A5081D" w:rsidRPr="004E3D31" w:rsidRDefault="00A5081D" w:rsidP="004E21B0">
            <w:pPr>
              <w:pStyle w:val="BodyText"/>
              <w:tabs>
                <w:tab w:val="left" w:pos="360"/>
                <w:tab w:val="left" w:pos="540"/>
                <w:tab w:val="left" w:pos="630"/>
                <w:tab w:val="left" w:pos="1080"/>
              </w:tabs>
              <w:ind w:right="-108" w:hanging="108"/>
              <w:jc w:val="center"/>
              <w:rPr>
                <w:b/>
                <w:sz w:val="18"/>
              </w:rPr>
            </w:pPr>
            <w:r w:rsidRPr="004E3D31">
              <w:rPr>
                <w:b/>
                <w:sz w:val="18"/>
              </w:rPr>
              <w:t>YEAR TO DATE</w:t>
            </w:r>
          </w:p>
          <w:p w:rsidR="00A5081D" w:rsidRPr="004E3D31" w:rsidRDefault="00A5081D" w:rsidP="004E21B0">
            <w:pPr>
              <w:pStyle w:val="BodyText"/>
              <w:tabs>
                <w:tab w:val="left" w:pos="360"/>
                <w:tab w:val="left" w:pos="540"/>
                <w:tab w:val="left" w:pos="630"/>
                <w:tab w:val="left" w:pos="1080"/>
              </w:tabs>
              <w:ind w:right="-108" w:hanging="108"/>
              <w:jc w:val="center"/>
              <w:rPr>
                <w:b/>
                <w:sz w:val="18"/>
              </w:rPr>
            </w:pPr>
            <w:r w:rsidRPr="004E3D31">
              <w:rPr>
                <w:b/>
                <w:sz w:val="18"/>
              </w:rPr>
              <w:t>3</w:t>
            </w:r>
            <w:r>
              <w:rPr>
                <w:b/>
                <w:sz w:val="18"/>
              </w:rPr>
              <w:t>0</w:t>
            </w:r>
            <w:r w:rsidRPr="004E3D31">
              <w:rPr>
                <w:b/>
                <w:sz w:val="18"/>
              </w:rPr>
              <w:t>/</w:t>
            </w:r>
            <w:r>
              <w:rPr>
                <w:b/>
                <w:sz w:val="18"/>
              </w:rPr>
              <w:t>6</w:t>
            </w:r>
            <w:r w:rsidRPr="004E3D31">
              <w:rPr>
                <w:b/>
                <w:sz w:val="18"/>
              </w:rPr>
              <w:t>/201</w:t>
            </w:r>
            <w:r>
              <w:rPr>
                <w:b/>
                <w:sz w:val="18"/>
              </w:rPr>
              <w:t>2</w:t>
            </w:r>
          </w:p>
          <w:p w:rsidR="00A5081D" w:rsidRPr="004E3D31" w:rsidRDefault="00A5081D" w:rsidP="004E21B0">
            <w:pPr>
              <w:pStyle w:val="BodyText"/>
              <w:tabs>
                <w:tab w:val="left" w:pos="360"/>
                <w:tab w:val="left" w:pos="540"/>
                <w:tab w:val="left" w:pos="630"/>
                <w:tab w:val="left" w:pos="1080"/>
              </w:tabs>
              <w:ind w:right="-108" w:hanging="108"/>
              <w:jc w:val="center"/>
              <w:rPr>
                <w:b/>
                <w:sz w:val="18"/>
              </w:rPr>
            </w:pPr>
            <w:r w:rsidRPr="004E3D31">
              <w:rPr>
                <w:b/>
                <w:sz w:val="18"/>
              </w:rPr>
              <w:t>RM’000</w:t>
            </w:r>
          </w:p>
        </w:tc>
        <w:tc>
          <w:tcPr>
            <w:tcW w:w="1890" w:type="dxa"/>
            <w:tcBorders>
              <w:top w:val="single" w:sz="8" w:space="0" w:color="auto"/>
              <w:left w:val="single" w:sz="4" w:space="0" w:color="auto"/>
              <w:right w:val="single" w:sz="4" w:space="0" w:color="auto"/>
            </w:tcBorders>
          </w:tcPr>
          <w:p w:rsidR="00A5081D" w:rsidRPr="003D4102" w:rsidRDefault="00A5081D" w:rsidP="004E21B0">
            <w:pPr>
              <w:pStyle w:val="BodyText"/>
              <w:tabs>
                <w:tab w:val="left" w:pos="360"/>
                <w:tab w:val="left" w:pos="540"/>
                <w:tab w:val="left" w:pos="630"/>
                <w:tab w:val="left" w:pos="1080"/>
              </w:tabs>
              <w:ind w:right="-108" w:hanging="108"/>
              <w:jc w:val="center"/>
              <w:rPr>
                <w:b/>
                <w:sz w:val="18"/>
              </w:rPr>
            </w:pPr>
            <w:r w:rsidRPr="003D4102">
              <w:rPr>
                <w:b/>
                <w:sz w:val="18"/>
              </w:rPr>
              <w:t>PRECEDING YEAR</w:t>
            </w:r>
          </w:p>
          <w:p w:rsidR="00A5081D" w:rsidRPr="003D4102" w:rsidRDefault="00A5081D" w:rsidP="004E21B0">
            <w:pPr>
              <w:pStyle w:val="BodyText"/>
              <w:tabs>
                <w:tab w:val="left" w:pos="360"/>
                <w:tab w:val="left" w:pos="540"/>
                <w:tab w:val="left" w:pos="630"/>
                <w:tab w:val="left" w:pos="1080"/>
              </w:tabs>
              <w:ind w:right="-108" w:hanging="108"/>
              <w:jc w:val="center"/>
              <w:rPr>
                <w:b/>
                <w:sz w:val="18"/>
              </w:rPr>
            </w:pPr>
            <w:r w:rsidRPr="003D4102">
              <w:rPr>
                <w:b/>
                <w:sz w:val="18"/>
              </w:rPr>
              <w:t>CORRESPONDING</w:t>
            </w:r>
          </w:p>
          <w:p w:rsidR="00A5081D" w:rsidRPr="003D4102" w:rsidRDefault="00A5081D" w:rsidP="004E21B0">
            <w:pPr>
              <w:pStyle w:val="BodyText"/>
              <w:tabs>
                <w:tab w:val="left" w:pos="360"/>
                <w:tab w:val="left" w:pos="540"/>
                <w:tab w:val="left" w:pos="630"/>
                <w:tab w:val="left" w:pos="1080"/>
              </w:tabs>
              <w:ind w:right="-108" w:hanging="108"/>
              <w:jc w:val="center"/>
              <w:rPr>
                <w:b/>
                <w:sz w:val="18"/>
              </w:rPr>
            </w:pPr>
            <w:r w:rsidRPr="003D4102">
              <w:rPr>
                <w:b/>
                <w:sz w:val="18"/>
              </w:rPr>
              <w:t>PERIOD</w:t>
            </w:r>
          </w:p>
          <w:p w:rsidR="00A5081D" w:rsidRPr="003D4102" w:rsidRDefault="00A5081D" w:rsidP="004E21B0">
            <w:pPr>
              <w:pStyle w:val="BodyText"/>
              <w:tabs>
                <w:tab w:val="left" w:pos="360"/>
                <w:tab w:val="left" w:pos="540"/>
                <w:tab w:val="left" w:pos="702"/>
                <w:tab w:val="left" w:pos="1080"/>
              </w:tabs>
              <w:ind w:right="-108" w:hanging="108"/>
              <w:jc w:val="center"/>
              <w:rPr>
                <w:b/>
                <w:sz w:val="18"/>
              </w:rPr>
            </w:pPr>
            <w:r w:rsidRPr="003D4102">
              <w:rPr>
                <w:b/>
                <w:sz w:val="18"/>
              </w:rPr>
              <w:t>3</w:t>
            </w:r>
            <w:r>
              <w:rPr>
                <w:b/>
                <w:sz w:val="18"/>
              </w:rPr>
              <w:t>0</w:t>
            </w:r>
            <w:r w:rsidRPr="003D4102">
              <w:rPr>
                <w:b/>
                <w:sz w:val="18"/>
              </w:rPr>
              <w:t>/</w:t>
            </w:r>
            <w:r>
              <w:rPr>
                <w:b/>
                <w:sz w:val="18"/>
              </w:rPr>
              <w:t>6/2011</w:t>
            </w:r>
          </w:p>
          <w:p w:rsidR="00A5081D" w:rsidRPr="003D4102" w:rsidRDefault="00A5081D" w:rsidP="004E21B0">
            <w:pPr>
              <w:pStyle w:val="BodyText"/>
              <w:tabs>
                <w:tab w:val="left" w:pos="360"/>
                <w:tab w:val="left" w:pos="540"/>
                <w:tab w:val="left" w:pos="702"/>
                <w:tab w:val="left" w:pos="1080"/>
              </w:tabs>
              <w:ind w:right="-108" w:hanging="108"/>
              <w:jc w:val="center"/>
              <w:rPr>
                <w:b/>
                <w:sz w:val="18"/>
              </w:rPr>
            </w:pPr>
            <w:r w:rsidRPr="003D4102">
              <w:rPr>
                <w:b/>
                <w:sz w:val="18"/>
              </w:rPr>
              <w:t>RM’000</w:t>
            </w:r>
          </w:p>
        </w:tc>
      </w:tr>
      <w:tr w:rsidR="00F129FF" w:rsidRPr="00C9517D" w:rsidTr="00655CCF">
        <w:tc>
          <w:tcPr>
            <w:tcW w:w="2970" w:type="dxa"/>
            <w:tcBorders>
              <w:right w:val="single" w:sz="4" w:space="0" w:color="auto"/>
            </w:tcBorders>
          </w:tcPr>
          <w:p w:rsidR="00F129FF" w:rsidRPr="00052600" w:rsidRDefault="002E2A4C" w:rsidP="00655CCF">
            <w:pPr>
              <w:pStyle w:val="BodyText"/>
              <w:ind w:right="-108"/>
              <w:rPr>
                <w:b/>
                <w:sz w:val="20"/>
              </w:rPr>
            </w:pPr>
            <w:r>
              <w:rPr>
                <w:b/>
                <w:sz w:val="20"/>
              </w:rPr>
              <w:t>Results</w:t>
            </w:r>
          </w:p>
          <w:p w:rsidR="00F129FF" w:rsidRPr="00052600" w:rsidRDefault="002E2A4C" w:rsidP="00F45A60">
            <w:pPr>
              <w:pStyle w:val="BodyText"/>
              <w:ind w:right="-108" w:hanging="108"/>
              <w:rPr>
                <w:sz w:val="20"/>
              </w:rPr>
            </w:pPr>
            <w:r>
              <w:rPr>
                <w:b/>
                <w:sz w:val="20"/>
              </w:rPr>
              <w:t xml:space="preserve">   </w:t>
            </w:r>
            <w:r w:rsidR="00F45A60">
              <w:rPr>
                <w:b/>
                <w:sz w:val="20"/>
              </w:rPr>
              <w:t>Continuing operations</w:t>
            </w:r>
          </w:p>
        </w:tc>
        <w:tc>
          <w:tcPr>
            <w:tcW w:w="1170" w:type="dxa"/>
            <w:tcBorders>
              <w:top w:val="single" w:sz="8" w:space="0" w:color="auto"/>
              <w:left w:val="single" w:sz="4" w:space="0" w:color="auto"/>
              <w:right w:val="single" w:sz="4" w:space="0" w:color="auto"/>
            </w:tcBorders>
          </w:tcPr>
          <w:p w:rsidR="00F129FF" w:rsidRPr="0091307E" w:rsidRDefault="00F129FF" w:rsidP="00306F4D">
            <w:pPr>
              <w:pStyle w:val="BodyText"/>
              <w:ind w:right="-450" w:hanging="108"/>
              <w:jc w:val="center"/>
              <w:rPr>
                <w:b/>
                <w:color w:val="auto"/>
                <w:sz w:val="20"/>
              </w:rPr>
            </w:pPr>
          </w:p>
        </w:tc>
        <w:tc>
          <w:tcPr>
            <w:tcW w:w="1890" w:type="dxa"/>
            <w:tcBorders>
              <w:top w:val="single" w:sz="8" w:space="0" w:color="auto"/>
              <w:left w:val="single" w:sz="4" w:space="0" w:color="auto"/>
              <w:right w:val="single" w:sz="4" w:space="0" w:color="auto"/>
            </w:tcBorders>
          </w:tcPr>
          <w:p w:rsidR="00F129FF" w:rsidRPr="00C9517D" w:rsidRDefault="00F129FF" w:rsidP="00306F4D">
            <w:pPr>
              <w:pStyle w:val="BodyText"/>
              <w:ind w:right="-450" w:hanging="108"/>
              <w:jc w:val="center"/>
              <w:rPr>
                <w:color w:val="auto"/>
                <w:sz w:val="20"/>
                <w:highlight w:val="yellow"/>
              </w:rPr>
            </w:pPr>
          </w:p>
        </w:tc>
        <w:tc>
          <w:tcPr>
            <w:tcW w:w="1170" w:type="dxa"/>
            <w:tcBorders>
              <w:top w:val="single" w:sz="8" w:space="0" w:color="auto"/>
              <w:left w:val="single" w:sz="4" w:space="0" w:color="auto"/>
              <w:right w:val="single" w:sz="4" w:space="0" w:color="auto"/>
            </w:tcBorders>
          </w:tcPr>
          <w:p w:rsidR="00F129FF" w:rsidRPr="00595106" w:rsidRDefault="00F129FF" w:rsidP="00F94132">
            <w:pPr>
              <w:pStyle w:val="BodyText"/>
              <w:ind w:right="-450" w:hanging="108"/>
              <w:jc w:val="center"/>
              <w:rPr>
                <w:b/>
                <w:color w:val="auto"/>
                <w:sz w:val="20"/>
                <w:highlight w:val="yellow"/>
              </w:rPr>
            </w:pPr>
          </w:p>
        </w:tc>
        <w:tc>
          <w:tcPr>
            <w:tcW w:w="1890" w:type="dxa"/>
            <w:tcBorders>
              <w:top w:val="single" w:sz="8" w:space="0" w:color="auto"/>
              <w:left w:val="single" w:sz="4" w:space="0" w:color="auto"/>
              <w:right w:val="single" w:sz="4" w:space="0" w:color="auto"/>
            </w:tcBorders>
          </w:tcPr>
          <w:p w:rsidR="00F129FF" w:rsidRPr="00C9517D" w:rsidRDefault="00F129FF" w:rsidP="00A43C0D">
            <w:pPr>
              <w:pStyle w:val="BodyText"/>
              <w:ind w:right="-450" w:hanging="108"/>
              <w:jc w:val="center"/>
              <w:rPr>
                <w:color w:val="auto"/>
                <w:sz w:val="20"/>
                <w:highlight w:val="yellow"/>
              </w:rPr>
            </w:pPr>
          </w:p>
        </w:tc>
      </w:tr>
      <w:tr w:rsidR="00595106" w:rsidRPr="00C9517D" w:rsidTr="00655CCF">
        <w:tc>
          <w:tcPr>
            <w:tcW w:w="2970" w:type="dxa"/>
            <w:tcBorders>
              <w:right w:val="single" w:sz="4" w:space="0" w:color="auto"/>
            </w:tcBorders>
            <w:shd w:val="clear" w:color="auto" w:fill="auto"/>
          </w:tcPr>
          <w:p w:rsidR="00595106" w:rsidRPr="00052600" w:rsidRDefault="00595106" w:rsidP="00684D6B">
            <w:pPr>
              <w:pStyle w:val="BodyText"/>
              <w:ind w:right="-108" w:firstLine="72"/>
              <w:rPr>
                <w:sz w:val="20"/>
              </w:rPr>
            </w:pPr>
            <w:r w:rsidRPr="00052600">
              <w:rPr>
                <w:sz w:val="20"/>
              </w:rPr>
              <w:t>Papua New Guinea - Automotive</w:t>
            </w:r>
          </w:p>
        </w:tc>
        <w:tc>
          <w:tcPr>
            <w:tcW w:w="1170" w:type="dxa"/>
            <w:tcBorders>
              <w:left w:val="single" w:sz="4" w:space="0" w:color="auto"/>
              <w:right w:val="single" w:sz="4" w:space="0" w:color="auto"/>
            </w:tcBorders>
            <w:shd w:val="clear" w:color="auto" w:fill="auto"/>
          </w:tcPr>
          <w:p w:rsidR="00595106" w:rsidRPr="0091307E" w:rsidRDefault="009B674C" w:rsidP="009B674C">
            <w:pPr>
              <w:pStyle w:val="BodyText"/>
              <w:ind w:right="-18" w:hanging="108"/>
              <w:jc w:val="center"/>
              <w:rPr>
                <w:b/>
                <w:color w:val="auto"/>
                <w:sz w:val="20"/>
              </w:rPr>
            </w:pPr>
            <w:r>
              <w:rPr>
                <w:b/>
                <w:color w:val="auto"/>
                <w:sz w:val="20"/>
              </w:rPr>
              <w:t xml:space="preserve"> </w:t>
            </w:r>
            <w:r w:rsidR="00793760" w:rsidRPr="0091307E">
              <w:rPr>
                <w:b/>
                <w:color w:val="auto"/>
                <w:sz w:val="20"/>
              </w:rPr>
              <w:t>36,273</w:t>
            </w:r>
          </w:p>
        </w:tc>
        <w:tc>
          <w:tcPr>
            <w:tcW w:w="1890" w:type="dxa"/>
            <w:tcBorders>
              <w:left w:val="single" w:sz="4" w:space="0" w:color="auto"/>
              <w:right w:val="single" w:sz="4" w:space="0" w:color="auto"/>
            </w:tcBorders>
            <w:shd w:val="clear" w:color="auto" w:fill="auto"/>
          </w:tcPr>
          <w:p w:rsidR="00595106" w:rsidRPr="00363232" w:rsidRDefault="00595106" w:rsidP="00CA2DC9">
            <w:pPr>
              <w:pStyle w:val="BodyText"/>
              <w:ind w:right="-18" w:hanging="108"/>
              <w:jc w:val="center"/>
              <w:rPr>
                <w:color w:val="auto"/>
                <w:sz w:val="20"/>
              </w:rPr>
            </w:pPr>
            <w:r w:rsidRPr="00363232">
              <w:rPr>
                <w:color w:val="auto"/>
                <w:sz w:val="20"/>
              </w:rPr>
              <w:t xml:space="preserve">      </w:t>
            </w:r>
            <w:r>
              <w:rPr>
                <w:color w:val="auto"/>
                <w:sz w:val="20"/>
              </w:rPr>
              <w:t xml:space="preserve"> </w:t>
            </w:r>
            <w:r w:rsidRPr="00363232">
              <w:rPr>
                <w:color w:val="auto"/>
                <w:sz w:val="20"/>
              </w:rPr>
              <w:t xml:space="preserve">  </w:t>
            </w:r>
            <w:r w:rsidR="00CA2DC9">
              <w:rPr>
                <w:color w:val="auto"/>
                <w:sz w:val="20"/>
              </w:rPr>
              <w:t>4</w:t>
            </w:r>
            <w:r w:rsidRPr="00363232">
              <w:rPr>
                <w:color w:val="auto"/>
                <w:sz w:val="20"/>
              </w:rPr>
              <w:t>,7</w:t>
            </w:r>
            <w:r w:rsidR="00CA2DC9">
              <w:rPr>
                <w:color w:val="auto"/>
                <w:sz w:val="20"/>
              </w:rPr>
              <w:t>44</w:t>
            </w:r>
          </w:p>
        </w:tc>
        <w:tc>
          <w:tcPr>
            <w:tcW w:w="1170" w:type="dxa"/>
            <w:tcBorders>
              <w:left w:val="single" w:sz="4" w:space="0" w:color="auto"/>
              <w:right w:val="single" w:sz="4" w:space="0" w:color="auto"/>
            </w:tcBorders>
            <w:shd w:val="clear" w:color="auto" w:fill="auto"/>
          </w:tcPr>
          <w:p w:rsidR="00595106" w:rsidRPr="00FB4276" w:rsidRDefault="00FB4276" w:rsidP="009B674C">
            <w:pPr>
              <w:pStyle w:val="BodyText"/>
              <w:ind w:right="-18" w:hanging="108"/>
              <w:jc w:val="center"/>
              <w:rPr>
                <w:b/>
                <w:color w:val="auto"/>
                <w:sz w:val="20"/>
              </w:rPr>
            </w:pPr>
            <w:r w:rsidRPr="00FB4276">
              <w:rPr>
                <w:b/>
                <w:color w:val="auto"/>
                <w:sz w:val="20"/>
              </w:rPr>
              <w:t>58,918</w:t>
            </w:r>
          </w:p>
        </w:tc>
        <w:tc>
          <w:tcPr>
            <w:tcW w:w="1890" w:type="dxa"/>
            <w:tcBorders>
              <w:left w:val="single" w:sz="4" w:space="0" w:color="auto"/>
              <w:right w:val="single" w:sz="4" w:space="0" w:color="auto"/>
            </w:tcBorders>
            <w:shd w:val="clear" w:color="auto" w:fill="auto"/>
          </w:tcPr>
          <w:p w:rsidR="00595106" w:rsidRPr="00363232" w:rsidRDefault="00CA2DC9" w:rsidP="00D46163">
            <w:pPr>
              <w:pStyle w:val="BodyText"/>
              <w:ind w:right="-18" w:hanging="108"/>
              <w:jc w:val="center"/>
              <w:rPr>
                <w:color w:val="auto"/>
                <w:sz w:val="20"/>
              </w:rPr>
            </w:pPr>
            <w:r>
              <w:rPr>
                <w:color w:val="auto"/>
                <w:sz w:val="20"/>
              </w:rPr>
              <w:t xml:space="preserve">       10,148</w:t>
            </w:r>
          </w:p>
        </w:tc>
      </w:tr>
      <w:tr w:rsidR="00595106" w:rsidRPr="00C9517D" w:rsidTr="00655CCF">
        <w:tc>
          <w:tcPr>
            <w:tcW w:w="2970" w:type="dxa"/>
            <w:tcBorders>
              <w:right w:val="single" w:sz="4" w:space="0" w:color="auto"/>
            </w:tcBorders>
            <w:shd w:val="clear" w:color="auto" w:fill="auto"/>
          </w:tcPr>
          <w:p w:rsidR="00595106" w:rsidRPr="00052600" w:rsidRDefault="00595106" w:rsidP="00684D6B">
            <w:pPr>
              <w:pStyle w:val="BodyText"/>
              <w:ind w:right="-108" w:firstLine="72"/>
              <w:rPr>
                <w:sz w:val="20"/>
              </w:rPr>
            </w:pPr>
            <w:r w:rsidRPr="00052600">
              <w:rPr>
                <w:sz w:val="20"/>
              </w:rPr>
              <w:t>Papua New Guinea - Agriculture</w:t>
            </w:r>
          </w:p>
        </w:tc>
        <w:tc>
          <w:tcPr>
            <w:tcW w:w="1170" w:type="dxa"/>
            <w:tcBorders>
              <w:left w:val="single" w:sz="4" w:space="0" w:color="auto"/>
              <w:right w:val="single" w:sz="4" w:space="0" w:color="auto"/>
            </w:tcBorders>
            <w:shd w:val="clear" w:color="auto" w:fill="auto"/>
          </w:tcPr>
          <w:p w:rsidR="00595106" w:rsidRPr="0091307E" w:rsidRDefault="009B674C" w:rsidP="009B674C">
            <w:pPr>
              <w:pStyle w:val="BodyText"/>
              <w:ind w:right="-18" w:hanging="108"/>
              <w:jc w:val="center"/>
              <w:rPr>
                <w:b/>
                <w:color w:val="auto"/>
                <w:sz w:val="20"/>
              </w:rPr>
            </w:pPr>
            <w:r>
              <w:rPr>
                <w:b/>
                <w:color w:val="auto"/>
                <w:sz w:val="20"/>
              </w:rPr>
              <w:t xml:space="preserve">  </w:t>
            </w:r>
            <w:r w:rsidR="00793760" w:rsidRPr="0091307E">
              <w:rPr>
                <w:b/>
                <w:color w:val="auto"/>
                <w:sz w:val="20"/>
              </w:rPr>
              <w:t>(8,295</w:t>
            </w:r>
            <w:r w:rsidR="00595106" w:rsidRPr="0091307E">
              <w:rPr>
                <w:b/>
                <w:color w:val="auto"/>
                <w:sz w:val="20"/>
              </w:rPr>
              <w:t>)</w:t>
            </w:r>
          </w:p>
        </w:tc>
        <w:tc>
          <w:tcPr>
            <w:tcW w:w="1890" w:type="dxa"/>
            <w:tcBorders>
              <w:left w:val="single" w:sz="4" w:space="0" w:color="auto"/>
              <w:right w:val="single" w:sz="4" w:space="0" w:color="auto"/>
            </w:tcBorders>
            <w:shd w:val="clear" w:color="auto" w:fill="auto"/>
          </w:tcPr>
          <w:p w:rsidR="00595106" w:rsidRPr="00363232" w:rsidRDefault="00CA2DC9" w:rsidP="00CA2DC9">
            <w:pPr>
              <w:pStyle w:val="BodyText"/>
              <w:ind w:right="-18" w:hanging="108"/>
              <w:jc w:val="center"/>
              <w:rPr>
                <w:color w:val="auto"/>
                <w:sz w:val="20"/>
              </w:rPr>
            </w:pPr>
            <w:r>
              <w:rPr>
                <w:color w:val="auto"/>
                <w:sz w:val="20"/>
              </w:rPr>
              <w:t xml:space="preserve">    </w:t>
            </w:r>
            <w:r w:rsidR="00595106" w:rsidRPr="00363232">
              <w:rPr>
                <w:color w:val="auto"/>
                <w:sz w:val="20"/>
              </w:rPr>
              <w:t xml:space="preserve">       </w:t>
            </w:r>
            <w:r>
              <w:rPr>
                <w:color w:val="auto"/>
                <w:sz w:val="20"/>
              </w:rPr>
              <w:t>(734</w:t>
            </w:r>
            <w:r w:rsidR="00595106" w:rsidRPr="00363232">
              <w:rPr>
                <w:color w:val="auto"/>
                <w:sz w:val="20"/>
              </w:rPr>
              <w:t>)</w:t>
            </w:r>
          </w:p>
        </w:tc>
        <w:tc>
          <w:tcPr>
            <w:tcW w:w="1170" w:type="dxa"/>
            <w:tcBorders>
              <w:left w:val="single" w:sz="4" w:space="0" w:color="auto"/>
              <w:right w:val="single" w:sz="4" w:space="0" w:color="auto"/>
            </w:tcBorders>
            <w:shd w:val="clear" w:color="auto" w:fill="auto"/>
          </w:tcPr>
          <w:p w:rsidR="00595106" w:rsidRPr="00FB4276" w:rsidRDefault="00595106" w:rsidP="009B674C">
            <w:pPr>
              <w:pStyle w:val="BodyText"/>
              <w:ind w:right="-18" w:hanging="108"/>
              <w:jc w:val="center"/>
              <w:rPr>
                <w:b/>
                <w:color w:val="auto"/>
                <w:sz w:val="20"/>
              </w:rPr>
            </w:pPr>
            <w:r w:rsidRPr="00FB4276">
              <w:rPr>
                <w:b/>
                <w:color w:val="auto"/>
                <w:sz w:val="20"/>
              </w:rPr>
              <w:t>(</w:t>
            </w:r>
            <w:r w:rsidR="00FB4276" w:rsidRPr="00FB4276">
              <w:rPr>
                <w:b/>
                <w:color w:val="auto"/>
                <w:sz w:val="20"/>
              </w:rPr>
              <w:t>23</w:t>
            </w:r>
            <w:r w:rsidRPr="00FB4276">
              <w:rPr>
                <w:b/>
                <w:color w:val="auto"/>
                <w:sz w:val="20"/>
              </w:rPr>
              <w:t>,</w:t>
            </w:r>
            <w:r w:rsidR="00FB4276" w:rsidRPr="00FB4276">
              <w:rPr>
                <w:b/>
                <w:color w:val="auto"/>
                <w:sz w:val="20"/>
              </w:rPr>
              <w:t>522</w:t>
            </w:r>
            <w:r w:rsidRPr="00FB4276">
              <w:rPr>
                <w:b/>
                <w:color w:val="auto"/>
                <w:sz w:val="20"/>
              </w:rPr>
              <w:t>)</w:t>
            </w:r>
          </w:p>
        </w:tc>
        <w:tc>
          <w:tcPr>
            <w:tcW w:w="1890" w:type="dxa"/>
            <w:tcBorders>
              <w:left w:val="single" w:sz="4" w:space="0" w:color="auto"/>
              <w:right w:val="single" w:sz="4" w:space="0" w:color="auto"/>
            </w:tcBorders>
            <w:shd w:val="clear" w:color="auto" w:fill="auto"/>
          </w:tcPr>
          <w:p w:rsidR="00595106" w:rsidRPr="00363232" w:rsidRDefault="00CA2DC9" w:rsidP="00D46163">
            <w:pPr>
              <w:pStyle w:val="BodyText"/>
              <w:ind w:right="-18" w:hanging="108"/>
              <w:jc w:val="center"/>
              <w:rPr>
                <w:color w:val="auto"/>
                <w:sz w:val="20"/>
              </w:rPr>
            </w:pPr>
            <w:r>
              <w:rPr>
                <w:color w:val="auto"/>
                <w:sz w:val="20"/>
              </w:rPr>
              <w:t xml:space="preserve">       21,875</w:t>
            </w:r>
          </w:p>
        </w:tc>
      </w:tr>
      <w:tr w:rsidR="00595106" w:rsidRPr="00C9517D" w:rsidTr="00655CCF">
        <w:tc>
          <w:tcPr>
            <w:tcW w:w="2970" w:type="dxa"/>
            <w:tcBorders>
              <w:right w:val="single" w:sz="4" w:space="0" w:color="auto"/>
            </w:tcBorders>
            <w:shd w:val="clear" w:color="auto" w:fill="auto"/>
          </w:tcPr>
          <w:p w:rsidR="00595106" w:rsidRPr="00052600" w:rsidRDefault="00595106" w:rsidP="009B674C">
            <w:pPr>
              <w:pStyle w:val="BodyText"/>
              <w:ind w:right="-108" w:firstLine="72"/>
              <w:jc w:val="left"/>
              <w:rPr>
                <w:sz w:val="20"/>
              </w:rPr>
            </w:pPr>
            <w:r w:rsidRPr="00052600">
              <w:rPr>
                <w:sz w:val="20"/>
              </w:rPr>
              <w:t>Fiji - Retail and Wholesale</w:t>
            </w:r>
          </w:p>
        </w:tc>
        <w:tc>
          <w:tcPr>
            <w:tcW w:w="1170" w:type="dxa"/>
            <w:tcBorders>
              <w:left w:val="single" w:sz="4" w:space="0" w:color="auto"/>
              <w:right w:val="single" w:sz="4" w:space="0" w:color="auto"/>
            </w:tcBorders>
            <w:shd w:val="clear" w:color="auto" w:fill="auto"/>
          </w:tcPr>
          <w:p w:rsidR="00595106" w:rsidRPr="0091307E" w:rsidRDefault="009B674C" w:rsidP="009B674C">
            <w:pPr>
              <w:pStyle w:val="BodyText"/>
              <w:ind w:right="-18" w:hanging="108"/>
              <w:jc w:val="center"/>
              <w:rPr>
                <w:b/>
                <w:color w:val="auto"/>
                <w:sz w:val="20"/>
              </w:rPr>
            </w:pPr>
            <w:r>
              <w:rPr>
                <w:b/>
                <w:color w:val="auto"/>
                <w:sz w:val="20"/>
              </w:rPr>
              <w:t xml:space="preserve">        </w:t>
            </w:r>
            <w:r w:rsidR="007D6B3D">
              <w:rPr>
                <w:b/>
                <w:color w:val="auto"/>
                <w:sz w:val="20"/>
              </w:rPr>
              <w:t>(965)</w:t>
            </w:r>
            <w:r>
              <w:rPr>
                <w:b/>
                <w:color w:val="auto"/>
                <w:sz w:val="20"/>
              </w:rPr>
              <w:t>**</w:t>
            </w:r>
          </w:p>
        </w:tc>
        <w:tc>
          <w:tcPr>
            <w:tcW w:w="1890" w:type="dxa"/>
            <w:tcBorders>
              <w:left w:val="single" w:sz="4" w:space="0" w:color="auto"/>
              <w:right w:val="single" w:sz="4" w:space="0" w:color="auto"/>
            </w:tcBorders>
            <w:shd w:val="clear" w:color="auto" w:fill="auto"/>
          </w:tcPr>
          <w:p w:rsidR="00595106" w:rsidRPr="00363232" w:rsidRDefault="00595106" w:rsidP="00CA2DC9">
            <w:pPr>
              <w:pStyle w:val="BodyText"/>
              <w:ind w:right="-18" w:hanging="108"/>
              <w:jc w:val="center"/>
              <w:rPr>
                <w:color w:val="auto"/>
                <w:sz w:val="20"/>
              </w:rPr>
            </w:pPr>
            <w:r w:rsidRPr="00363232">
              <w:rPr>
                <w:color w:val="auto"/>
                <w:sz w:val="20"/>
              </w:rPr>
              <w:t xml:space="preserve">        (</w:t>
            </w:r>
            <w:r w:rsidR="00CA2DC9">
              <w:rPr>
                <w:color w:val="auto"/>
                <w:sz w:val="20"/>
              </w:rPr>
              <w:t>7</w:t>
            </w:r>
            <w:r w:rsidRPr="00363232">
              <w:rPr>
                <w:color w:val="auto"/>
                <w:sz w:val="20"/>
              </w:rPr>
              <w:t>,</w:t>
            </w:r>
            <w:r w:rsidR="00CA2DC9">
              <w:rPr>
                <w:color w:val="auto"/>
                <w:sz w:val="20"/>
              </w:rPr>
              <w:t>347)</w:t>
            </w:r>
          </w:p>
        </w:tc>
        <w:tc>
          <w:tcPr>
            <w:tcW w:w="1170" w:type="dxa"/>
            <w:tcBorders>
              <w:left w:val="single" w:sz="4" w:space="0" w:color="auto"/>
              <w:right w:val="single" w:sz="4" w:space="0" w:color="auto"/>
            </w:tcBorders>
            <w:shd w:val="clear" w:color="auto" w:fill="auto"/>
          </w:tcPr>
          <w:p w:rsidR="00595106" w:rsidRPr="00FB4276" w:rsidRDefault="009B674C" w:rsidP="009B674C">
            <w:pPr>
              <w:pStyle w:val="BodyText"/>
              <w:ind w:right="-18" w:hanging="108"/>
              <w:jc w:val="left"/>
              <w:rPr>
                <w:b/>
                <w:color w:val="auto"/>
                <w:sz w:val="20"/>
              </w:rPr>
            </w:pPr>
            <w:r>
              <w:rPr>
                <w:b/>
                <w:color w:val="auto"/>
                <w:sz w:val="20"/>
              </w:rPr>
              <w:t xml:space="preserve">  </w:t>
            </w:r>
            <w:r w:rsidR="00595106" w:rsidRPr="00FB4276">
              <w:rPr>
                <w:b/>
                <w:color w:val="auto"/>
                <w:sz w:val="20"/>
              </w:rPr>
              <w:t xml:space="preserve">   </w:t>
            </w:r>
            <w:r>
              <w:rPr>
                <w:b/>
                <w:color w:val="auto"/>
                <w:sz w:val="20"/>
              </w:rPr>
              <w:t>(</w:t>
            </w:r>
            <w:r w:rsidR="007D6B3D">
              <w:rPr>
                <w:b/>
                <w:color w:val="auto"/>
                <w:sz w:val="20"/>
              </w:rPr>
              <w:t>4,647)</w:t>
            </w:r>
            <w:r>
              <w:rPr>
                <w:b/>
                <w:color w:val="auto"/>
                <w:sz w:val="20"/>
              </w:rPr>
              <w:t>**</w:t>
            </w:r>
          </w:p>
        </w:tc>
        <w:tc>
          <w:tcPr>
            <w:tcW w:w="1890" w:type="dxa"/>
            <w:tcBorders>
              <w:left w:val="single" w:sz="4" w:space="0" w:color="auto"/>
              <w:right w:val="single" w:sz="4" w:space="0" w:color="auto"/>
            </w:tcBorders>
            <w:shd w:val="clear" w:color="auto" w:fill="auto"/>
          </w:tcPr>
          <w:p w:rsidR="00595106" w:rsidRPr="00363232" w:rsidRDefault="00CA2DC9" w:rsidP="00D46163">
            <w:pPr>
              <w:pStyle w:val="BodyText"/>
              <w:ind w:right="-18" w:hanging="108"/>
              <w:jc w:val="center"/>
              <w:rPr>
                <w:color w:val="auto"/>
                <w:sz w:val="20"/>
              </w:rPr>
            </w:pPr>
            <w:r>
              <w:rPr>
                <w:color w:val="auto"/>
                <w:sz w:val="20"/>
              </w:rPr>
              <w:t xml:space="preserve">       (11,314</w:t>
            </w:r>
            <w:r w:rsidR="00595106" w:rsidRPr="00363232">
              <w:rPr>
                <w:color w:val="auto"/>
                <w:sz w:val="20"/>
              </w:rPr>
              <w:t>)</w:t>
            </w:r>
          </w:p>
        </w:tc>
      </w:tr>
      <w:tr w:rsidR="00595106" w:rsidRPr="00C9517D" w:rsidTr="00655CCF">
        <w:tc>
          <w:tcPr>
            <w:tcW w:w="2970" w:type="dxa"/>
            <w:tcBorders>
              <w:right w:val="single" w:sz="4" w:space="0" w:color="auto"/>
            </w:tcBorders>
            <w:shd w:val="clear" w:color="auto" w:fill="auto"/>
          </w:tcPr>
          <w:p w:rsidR="00595106" w:rsidRPr="00052600" w:rsidRDefault="00595106" w:rsidP="00684D6B">
            <w:pPr>
              <w:pStyle w:val="BodyText"/>
              <w:ind w:right="-108" w:firstLine="72"/>
              <w:rPr>
                <w:sz w:val="20"/>
              </w:rPr>
            </w:pPr>
            <w:r w:rsidRPr="00052600">
              <w:rPr>
                <w:sz w:val="20"/>
              </w:rPr>
              <w:t xml:space="preserve">Fiji </w:t>
            </w:r>
            <w:r w:rsidR="002E2A4C">
              <w:rPr>
                <w:sz w:val="20"/>
              </w:rPr>
              <w:t>–</w:t>
            </w:r>
            <w:r w:rsidRPr="00052600">
              <w:rPr>
                <w:sz w:val="20"/>
              </w:rPr>
              <w:t xml:space="preserve"> Automotive</w:t>
            </w:r>
          </w:p>
        </w:tc>
        <w:tc>
          <w:tcPr>
            <w:tcW w:w="1170" w:type="dxa"/>
            <w:tcBorders>
              <w:left w:val="single" w:sz="4" w:space="0" w:color="auto"/>
              <w:right w:val="single" w:sz="4" w:space="0" w:color="auto"/>
            </w:tcBorders>
            <w:shd w:val="clear" w:color="auto" w:fill="auto"/>
          </w:tcPr>
          <w:p w:rsidR="00595106" w:rsidRPr="0091307E" w:rsidRDefault="009B674C" w:rsidP="009B674C">
            <w:pPr>
              <w:pStyle w:val="BodyText"/>
              <w:ind w:right="-18" w:hanging="108"/>
              <w:jc w:val="center"/>
              <w:rPr>
                <w:b/>
                <w:color w:val="auto"/>
                <w:sz w:val="20"/>
              </w:rPr>
            </w:pPr>
            <w:r>
              <w:rPr>
                <w:b/>
                <w:color w:val="auto"/>
                <w:sz w:val="20"/>
              </w:rPr>
              <w:t xml:space="preserve">  </w:t>
            </w:r>
            <w:r w:rsidR="00793760" w:rsidRPr="0091307E">
              <w:rPr>
                <w:b/>
                <w:color w:val="auto"/>
                <w:sz w:val="20"/>
              </w:rPr>
              <w:t>2,241</w:t>
            </w:r>
          </w:p>
        </w:tc>
        <w:tc>
          <w:tcPr>
            <w:tcW w:w="1890" w:type="dxa"/>
            <w:tcBorders>
              <w:left w:val="single" w:sz="4" w:space="0" w:color="auto"/>
              <w:right w:val="single" w:sz="4" w:space="0" w:color="auto"/>
            </w:tcBorders>
            <w:shd w:val="clear" w:color="auto" w:fill="auto"/>
          </w:tcPr>
          <w:p w:rsidR="00595106" w:rsidRPr="00363232" w:rsidRDefault="00CA2DC9" w:rsidP="00D46163">
            <w:pPr>
              <w:pStyle w:val="BodyText"/>
              <w:ind w:right="-18" w:hanging="108"/>
              <w:jc w:val="center"/>
              <w:rPr>
                <w:color w:val="auto"/>
                <w:sz w:val="20"/>
              </w:rPr>
            </w:pPr>
            <w:r>
              <w:rPr>
                <w:color w:val="auto"/>
                <w:sz w:val="20"/>
              </w:rPr>
              <w:t xml:space="preserve">         1,002</w:t>
            </w:r>
          </w:p>
        </w:tc>
        <w:tc>
          <w:tcPr>
            <w:tcW w:w="1170" w:type="dxa"/>
            <w:tcBorders>
              <w:left w:val="single" w:sz="4" w:space="0" w:color="auto"/>
              <w:right w:val="single" w:sz="4" w:space="0" w:color="auto"/>
            </w:tcBorders>
            <w:shd w:val="clear" w:color="auto" w:fill="auto"/>
          </w:tcPr>
          <w:p w:rsidR="00595106" w:rsidRPr="00FB4276" w:rsidRDefault="00FB4276" w:rsidP="009B674C">
            <w:pPr>
              <w:pStyle w:val="BodyText"/>
              <w:ind w:right="-18" w:hanging="108"/>
              <w:jc w:val="center"/>
              <w:rPr>
                <w:b/>
                <w:color w:val="auto"/>
                <w:sz w:val="20"/>
              </w:rPr>
            </w:pPr>
            <w:r w:rsidRPr="00FB4276">
              <w:rPr>
                <w:b/>
                <w:color w:val="auto"/>
                <w:sz w:val="20"/>
              </w:rPr>
              <w:t>3</w:t>
            </w:r>
            <w:r w:rsidR="00595106" w:rsidRPr="00FB4276">
              <w:rPr>
                <w:b/>
                <w:color w:val="auto"/>
                <w:sz w:val="20"/>
              </w:rPr>
              <w:t>,</w:t>
            </w:r>
            <w:r w:rsidRPr="00FB4276">
              <w:rPr>
                <w:b/>
                <w:color w:val="auto"/>
                <w:sz w:val="20"/>
              </w:rPr>
              <w:t>315</w:t>
            </w:r>
          </w:p>
        </w:tc>
        <w:tc>
          <w:tcPr>
            <w:tcW w:w="1890" w:type="dxa"/>
            <w:tcBorders>
              <w:left w:val="single" w:sz="4" w:space="0" w:color="auto"/>
              <w:right w:val="single" w:sz="4" w:space="0" w:color="auto"/>
            </w:tcBorders>
            <w:shd w:val="clear" w:color="auto" w:fill="auto"/>
          </w:tcPr>
          <w:p w:rsidR="00595106" w:rsidRPr="00363232" w:rsidRDefault="00595106" w:rsidP="00CA2DC9">
            <w:pPr>
              <w:pStyle w:val="BodyText"/>
              <w:ind w:right="-18" w:hanging="108"/>
              <w:jc w:val="center"/>
              <w:rPr>
                <w:color w:val="auto"/>
                <w:sz w:val="20"/>
              </w:rPr>
            </w:pPr>
            <w:r w:rsidRPr="00363232">
              <w:rPr>
                <w:color w:val="auto"/>
                <w:sz w:val="20"/>
              </w:rPr>
              <w:t xml:space="preserve">         1,</w:t>
            </w:r>
            <w:r w:rsidR="00CA2DC9">
              <w:rPr>
                <w:color w:val="auto"/>
                <w:sz w:val="20"/>
              </w:rPr>
              <w:t>43</w:t>
            </w:r>
            <w:r w:rsidRPr="00363232">
              <w:rPr>
                <w:color w:val="auto"/>
                <w:sz w:val="20"/>
              </w:rPr>
              <w:t>6</w:t>
            </w:r>
          </w:p>
        </w:tc>
      </w:tr>
      <w:tr w:rsidR="00595106" w:rsidRPr="00C9517D" w:rsidTr="00655CCF">
        <w:tc>
          <w:tcPr>
            <w:tcW w:w="2970" w:type="dxa"/>
            <w:tcBorders>
              <w:right w:val="single" w:sz="4" w:space="0" w:color="auto"/>
            </w:tcBorders>
            <w:shd w:val="clear" w:color="auto" w:fill="auto"/>
          </w:tcPr>
          <w:p w:rsidR="00595106" w:rsidRPr="00052600" w:rsidRDefault="00595106" w:rsidP="00684D6B">
            <w:pPr>
              <w:pStyle w:val="BodyText"/>
              <w:ind w:right="-108" w:firstLine="72"/>
              <w:rPr>
                <w:sz w:val="20"/>
              </w:rPr>
            </w:pPr>
            <w:r w:rsidRPr="00052600">
              <w:rPr>
                <w:sz w:val="20"/>
              </w:rPr>
              <w:t xml:space="preserve">Fiji </w:t>
            </w:r>
            <w:r w:rsidR="002E2A4C">
              <w:rPr>
                <w:sz w:val="20"/>
              </w:rPr>
              <w:t>–</w:t>
            </w:r>
            <w:r w:rsidRPr="00052600">
              <w:rPr>
                <w:sz w:val="20"/>
              </w:rPr>
              <w:t xml:space="preserve"> Property</w:t>
            </w:r>
          </w:p>
        </w:tc>
        <w:tc>
          <w:tcPr>
            <w:tcW w:w="1170" w:type="dxa"/>
            <w:tcBorders>
              <w:left w:val="single" w:sz="4" w:space="0" w:color="auto"/>
              <w:right w:val="single" w:sz="4" w:space="0" w:color="auto"/>
            </w:tcBorders>
            <w:shd w:val="clear" w:color="auto" w:fill="auto"/>
          </w:tcPr>
          <w:p w:rsidR="00595106" w:rsidRPr="0091307E" w:rsidRDefault="009B674C" w:rsidP="009B674C">
            <w:pPr>
              <w:pStyle w:val="BodyText"/>
              <w:ind w:right="-18" w:hanging="108"/>
              <w:jc w:val="center"/>
              <w:rPr>
                <w:b/>
                <w:color w:val="auto"/>
                <w:sz w:val="20"/>
              </w:rPr>
            </w:pPr>
            <w:r>
              <w:rPr>
                <w:b/>
                <w:color w:val="auto"/>
                <w:sz w:val="20"/>
              </w:rPr>
              <w:t xml:space="preserve">  </w:t>
            </w:r>
            <w:r w:rsidR="00595106" w:rsidRPr="0091307E">
              <w:rPr>
                <w:b/>
                <w:color w:val="auto"/>
                <w:sz w:val="20"/>
              </w:rPr>
              <w:t>2,</w:t>
            </w:r>
            <w:r w:rsidR="00793760" w:rsidRPr="0091307E">
              <w:rPr>
                <w:b/>
                <w:color w:val="auto"/>
                <w:sz w:val="20"/>
              </w:rPr>
              <w:t>237</w:t>
            </w:r>
          </w:p>
        </w:tc>
        <w:tc>
          <w:tcPr>
            <w:tcW w:w="1890" w:type="dxa"/>
            <w:tcBorders>
              <w:left w:val="single" w:sz="4" w:space="0" w:color="auto"/>
              <w:right w:val="single" w:sz="4" w:space="0" w:color="auto"/>
            </w:tcBorders>
            <w:shd w:val="clear" w:color="auto" w:fill="auto"/>
          </w:tcPr>
          <w:p w:rsidR="00595106" w:rsidRPr="00363232" w:rsidRDefault="00CA2DC9" w:rsidP="00CA2DC9">
            <w:pPr>
              <w:pStyle w:val="BodyText"/>
              <w:ind w:right="-18" w:hanging="108"/>
              <w:jc w:val="center"/>
              <w:rPr>
                <w:color w:val="auto"/>
                <w:sz w:val="20"/>
              </w:rPr>
            </w:pPr>
            <w:r>
              <w:rPr>
                <w:color w:val="auto"/>
                <w:sz w:val="20"/>
              </w:rPr>
              <w:t xml:space="preserve">         3</w:t>
            </w:r>
            <w:r w:rsidR="00595106" w:rsidRPr="00363232">
              <w:rPr>
                <w:color w:val="auto"/>
                <w:sz w:val="20"/>
              </w:rPr>
              <w:t>,</w:t>
            </w:r>
            <w:r>
              <w:rPr>
                <w:color w:val="auto"/>
                <w:sz w:val="20"/>
              </w:rPr>
              <w:t>624</w:t>
            </w:r>
          </w:p>
        </w:tc>
        <w:tc>
          <w:tcPr>
            <w:tcW w:w="1170" w:type="dxa"/>
            <w:tcBorders>
              <w:left w:val="single" w:sz="4" w:space="0" w:color="auto"/>
              <w:right w:val="single" w:sz="4" w:space="0" w:color="auto"/>
            </w:tcBorders>
            <w:shd w:val="clear" w:color="auto" w:fill="auto"/>
          </w:tcPr>
          <w:p w:rsidR="00595106" w:rsidRPr="00FB4276" w:rsidRDefault="00595106" w:rsidP="009B674C">
            <w:pPr>
              <w:pStyle w:val="BodyText"/>
              <w:ind w:right="-18" w:hanging="108"/>
              <w:jc w:val="center"/>
              <w:rPr>
                <w:b/>
                <w:color w:val="auto"/>
                <w:sz w:val="20"/>
              </w:rPr>
            </w:pPr>
            <w:r w:rsidRPr="00FB4276">
              <w:rPr>
                <w:b/>
                <w:color w:val="auto"/>
                <w:sz w:val="20"/>
              </w:rPr>
              <w:t xml:space="preserve"> </w:t>
            </w:r>
            <w:r w:rsidR="00FB4276" w:rsidRPr="00FB4276">
              <w:rPr>
                <w:b/>
                <w:color w:val="auto"/>
                <w:sz w:val="20"/>
              </w:rPr>
              <w:t>4</w:t>
            </w:r>
            <w:r w:rsidRPr="00FB4276">
              <w:rPr>
                <w:b/>
                <w:color w:val="auto"/>
                <w:sz w:val="20"/>
              </w:rPr>
              <w:t>,</w:t>
            </w:r>
            <w:r w:rsidR="00FB4276" w:rsidRPr="00FB4276">
              <w:rPr>
                <w:b/>
                <w:color w:val="auto"/>
                <w:sz w:val="20"/>
              </w:rPr>
              <w:t>249</w:t>
            </w:r>
          </w:p>
        </w:tc>
        <w:tc>
          <w:tcPr>
            <w:tcW w:w="1890" w:type="dxa"/>
            <w:tcBorders>
              <w:left w:val="single" w:sz="4" w:space="0" w:color="auto"/>
              <w:right w:val="single" w:sz="4" w:space="0" w:color="auto"/>
            </w:tcBorders>
            <w:shd w:val="clear" w:color="auto" w:fill="auto"/>
          </w:tcPr>
          <w:p w:rsidR="00595106" w:rsidRPr="00363232" w:rsidRDefault="00595106" w:rsidP="00CA2DC9">
            <w:pPr>
              <w:pStyle w:val="BodyText"/>
              <w:ind w:right="-18" w:hanging="108"/>
              <w:jc w:val="center"/>
              <w:rPr>
                <w:color w:val="auto"/>
                <w:sz w:val="20"/>
              </w:rPr>
            </w:pPr>
            <w:r w:rsidRPr="00363232">
              <w:rPr>
                <w:color w:val="auto"/>
                <w:sz w:val="20"/>
              </w:rPr>
              <w:t xml:space="preserve">         </w:t>
            </w:r>
            <w:r w:rsidR="00CA2DC9">
              <w:rPr>
                <w:color w:val="auto"/>
                <w:sz w:val="20"/>
              </w:rPr>
              <w:t>6</w:t>
            </w:r>
            <w:r w:rsidRPr="00363232">
              <w:rPr>
                <w:color w:val="auto"/>
                <w:sz w:val="20"/>
              </w:rPr>
              <w:t>,</w:t>
            </w:r>
            <w:r w:rsidR="00CA2DC9">
              <w:rPr>
                <w:color w:val="auto"/>
                <w:sz w:val="20"/>
              </w:rPr>
              <w:t>859</w:t>
            </w:r>
          </w:p>
        </w:tc>
      </w:tr>
      <w:tr w:rsidR="00595106" w:rsidRPr="00C9517D" w:rsidTr="00655CCF">
        <w:tc>
          <w:tcPr>
            <w:tcW w:w="2970" w:type="dxa"/>
            <w:tcBorders>
              <w:right w:val="single" w:sz="4" w:space="0" w:color="auto"/>
            </w:tcBorders>
            <w:shd w:val="clear" w:color="auto" w:fill="auto"/>
          </w:tcPr>
          <w:p w:rsidR="00595106" w:rsidRPr="00052600" w:rsidRDefault="00595106" w:rsidP="00684D6B">
            <w:pPr>
              <w:pStyle w:val="BodyText"/>
              <w:ind w:right="-108" w:firstLine="72"/>
              <w:rPr>
                <w:sz w:val="20"/>
              </w:rPr>
            </w:pPr>
            <w:r w:rsidRPr="00052600">
              <w:rPr>
                <w:sz w:val="20"/>
              </w:rPr>
              <w:t>Shipping</w:t>
            </w:r>
          </w:p>
        </w:tc>
        <w:tc>
          <w:tcPr>
            <w:tcW w:w="1170" w:type="dxa"/>
            <w:tcBorders>
              <w:left w:val="single" w:sz="4" w:space="0" w:color="auto"/>
              <w:right w:val="single" w:sz="4" w:space="0" w:color="auto"/>
            </w:tcBorders>
            <w:shd w:val="clear" w:color="auto" w:fill="auto"/>
          </w:tcPr>
          <w:p w:rsidR="00595106" w:rsidRPr="0091307E" w:rsidRDefault="00793760" w:rsidP="009B674C">
            <w:pPr>
              <w:pStyle w:val="BodyText"/>
              <w:ind w:right="-450" w:hanging="108"/>
              <w:jc w:val="center"/>
              <w:rPr>
                <w:b/>
                <w:color w:val="auto"/>
                <w:sz w:val="20"/>
              </w:rPr>
            </w:pPr>
            <w:r w:rsidRPr="0091307E">
              <w:rPr>
                <w:b/>
                <w:color w:val="auto"/>
                <w:sz w:val="20"/>
              </w:rPr>
              <w:t>(5</w:t>
            </w:r>
            <w:r w:rsidR="00595106" w:rsidRPr="0091307E">
              <w:rPr>
                <w:b/>
                <w:color w:val="auto"/>
                <w:sz w:val="20"/>
              </w:rPr>
              <w:t>)</w:t>
            </w:r>
          </w:p>
        </w:tc>
        <w:tc>
          <w:tcPr>
            <w:tcW w:w="1890" w:type="dxa"/>
            <w:tcBorders>
              <w:left w:val="single" w:sz="4" w:space="0" w:color="auto"/>
              <w:right w:val="single" w:sz="4" w:space="0" w:color="auto"/>
            </w:tcBorders>
            <w:shd w:val="clear" w:color="auto" w:fill="auto"/>
          </w:tcPr>
          <w:p w:rsidR="00595106" w:rsidRPr="00363232" w:rsidRDefault="00595106" w:rsidP="00A30AC6">
            <w:pPr>
              <w:pStyle w:val="BodyText"/>
              <w:ind w:right="-450" w:hanging="108"/>
              <w:rPr>
                <w:color w:val="auto"/>
                <w:sz w:val="20"/>
              </w:rPr>
            </w:pPr>
            <w:r w:rsidRPr="00363232">
              <w:rPr>
                <w:color w:val="auto"/>
                <w:sz w:val="20"/>
              </w:rPr>
              <w:t xml:space="preserve">         </w:t>
            </w:r>
            <w:r>
              <w:rPr>
                <w:color w:val="auto"/>
                <w:sz w:val="20"/>
              </w:rPr>
              <w:t xml:space="preserve">       </w:t>
            </w:r>
            <w:r w:rsidRPr="00363232">
              <w:rPr>
                <w:color w:val="auto"/>
                <w:sz w:val="20"/>
              </w:rPr>
              <w:t>(9,</w:t>
            </w:r>
            <w:r>
              <w:rPr>
                <w:color w:val="auto"/>
                <w:sz w:val="20"/>
              </w:rPr>
              <w:t>0</w:t>
            </w:r>
            <w:r w:rsidR="00A30AC6">
              <w:rPr>
                <w:color w:val="auto"/>
                <w:sz w:val="20"/>
              </w:rPr>
              <w:t>40</w:t>
            </w:r>
            <w:r w:rsidRPr="00363232">
              <w:rPr>
                <w:color w:val="auto"/>
                <w:sz w:val="20"/>
              </w:rPr>
              <w:t>)</w:t>
            </w:r>
          </w:p>
        </w:tc>
        <w:tc>
          <w:tcPr>
            <w:tcW w:w="1170" w:type="dxa"/>
            <w:tcBorders>
              <w:left w:val="single" w:sz="4" w:space="0" w:color="auto"/>
              <w:right w:val="single" w:sz="4" w:space="0" w:color="auto"/>
            </w:tcBorders>
            <w:shd w:val="clear" w:color="auto" w:fill="auto"/>
          </w:tcPr>
          <w:p w:rsidR="00595106" w:rsidRPr="00FB4276" w:rsidRDefault="00FB4276" w:rsidP="009B674C">
            <w:pPr>
              <w:pStyle w:val="BodyText"/>
              <w:ind w:right="-450" w:hanging="108"/>
              <w:rPr>
                <w:b/>
                <w:color w:val="auto"/>
                <w:sz w:val="20"/>
              </w:rPr>
            </w:pPr>
            <w:r w:rsidRPr="00FB4276">
              <w:rPr>
                <w:b/>
                <w:color w:val="auto"/>
                <w:sz w:val="20"/>
              </w:rPr>
              <w:t xml:space="preserve">   (12,537</w:t>
            </w:r>
            <w:r w:rsidR="00595106" w:rsidRPr="00FB4276">
              <w:rPr>
                <w:b/>
                <w:color w:val="auto"/>
                <w:sz w:val="20"/>
              </w:rPr>
              <w:t>)</w:t>
            </w:r>
          </w:p>
        </w:tc>
        <w:tc>
          <w:tcPr>
            <w:tcW w:w="1890" w:type="dxa"/>
            <w:tcBorders>
              <w:left w:val="single" w:sz="4" w:space="0" w:color="auto"/>
              <w:right w:val="single" w:sz="4" w:space="0" w:color="auto"/>
            </w:tcBorders>
            <w:shd w:val="clear" w:color="auto" w:fill="auto"/>
          </w:tcPr>
          <w:p w:rsidR="00595106" w:rsidRPr="00363232" w:rsidRDefault="00595106" w:rsidP="00CA2DC9">
            <w:pPr>
              <w:pStyle w:val="BodyText"/>
              <w:ind w:right="-450" w:hanging="108"/>
              <w:rPr>
                <w:color w:val="auto"/>
                <w:sz w:val="20"/>
              </w:rPr>
            </w:pPr>
            <w:r w:rsidRPr="00363232">
              <w:rPr>
                <w:color w:val="auto"/>
                <w:sz w:val="20"/>
              </w:rPr>
              <w:t xml:space="preserve">       </w:t>
            </w:r>
            <w:r>
              <w:rPr>
                <w:color w:val="auto"/>
                <w:sz w:val="20"/>
              </w:rPr>
              <w:t xml:space="preserve">       </w:t>
            </w:r>
            <w:r w:rsidRPr="00363232">
              <w:rPr>
                <w:color w:val="auto"/>
                <w:sz w:val="20"/>
              </w:rPr>
              <w:t>(2</w:t>
            </w:r>
            <w:r>
              <w:rPr>
                <w:color w:val="auto"/>
                <w:sz w:val="20"/>
              </w:rPr>
              <w:t>0</w:t>
            </w:r>
            <w:r w:rsidRPr="00363232">
              <w:rPr>
                <w:color w:val="auto"/>
                <w:sz w:val="20"/>
              </w:rPr>
              <w:t>,</w:t>
            </w:r>
            <w:r>
              <w:rPr>
                <w:color w:val="auto"/>
                <w:sz w:val="20"/>
              </w:rPr>
              <w:t>7</w:t>
            </w:r>
            <w:r w:rsidR="00CA2DC9">
              <w:rPr>
                <w:color w:val="auto"/>
                <w:sz w:val="20"/>
              </w:rPr>
              <w:t>3</w:t>
            </w:r>
            <w:r>
              <w:rPr>
                <w:color w:val="auto"/>
                <w:sz w:val="20"/>
              </w:rPr>
              <w:t>4</w:t>
            </w:r>
            <w:r w:rsidRPr="00363232">
              <w:rPr>
                <w:color w:val="auto"/>
                <w:sz w:val="20"/>
              </w:rPr>
              <w:t>)</w:t>
            </w:r>
          </w:p>
        </w:tc>
      </w:tr>
      <w:tr w:rsidR="00595106" w:rsidRPr="00C9517D" w:rsidTr="00655CCF">
        <w:tc>
          <w:tcPr>
            <w:tcW w:w="2970" w:type="dxa"/>
            <w:tcBorders>
              <w:right w:val="single" w:sz="4" w:space="0" w:color="auto"/>
            </w:tcBorders>
            <w:shd w:val="clear" w:color="auto" w:fill="auto"/>
          </w:tcPr>
          <w:p w:rsidR="00595106" w:rsidRPr="00052600" w:rsidRDefault="00595106" w:rsidP="009B674C">
            <w:pPr>
              <w:pStyle w:val="BodyText"/>
              <w:ind w:right="-108" w:firstLine="72"/>
              <w:rPr>
                <w:sz w:val="20"/>
              </w:rPr>
            </w:pPr>
            <w:r w:rsidRPr="00052600">
              <w:rPr>
                <w:sz w:val="20"/>
              </w:rPr>
              <w:t>Other</w:t>
            </w:r>
            <w:r w:rsidR="002E2A4C">
              <w:rPr>
                <w:sz w:val="20"/>
              </w:rPr>
              <w:t>s</w:t>
            </w:r>
            <w:r>
              <w:rPr>
                <w:sz w:val="20"/>
              </w:rPr>
              <w:t xml:space="preserve"> *</w:t>
            </w:r>
          </w:p>
        </w:tc>
        <w:tc>
          <w:tcPr>
            <w:tcW w:w="1170" w:type="dxa"/>
            <w:tcBorders>
              <w:left w:val="single" w:sz="4" w:space="0" w:color="auto"/>
              <w:right w:val="single" w:sz="4" w:space="0" w:color="auto"/>
            </w:tcBorders>
            <w:shd w:val="clear" w:color="auto" w:fill="auto"/>
          </w:tcPr>
          <w:p w:rsidR="00595106" w:rsidRPr="0091307E" w:rsidRDefault="009B674C" w:rsidP="009B674C">
            <w:pPr>
              <w:pStyle w:val="BodyText"/>
              <w:ind w:right="-450" w:hanging="108"/>
              <w:rPr>
                <w:b/>
                <w:color w:val="auto"/>
                <w:sz w:val="20"/>
              </w:rPr>
            </w:pPr>
            <w:r>
              <w:rPr>
                <w:b/>
                <w:color w:val="auto"/>
                <w:sz w:val="20"/>
              </w:rPr>
              <w:t xml:space="preserve">      </w:t>
            </w:r>
            <w:r w:rsidR="00595106" w:rsidRPr="0091307E">
              <w:rPr>
                <w:b/>
                <w:color w:val="auto"/>
                <w:sz w:val="20"/>
              </w:rPr>
              <w:t>(</w:t>
            </w:r>
            <w:r w:rsidR="007D6B3D">
              <w:rPr>
                <w:b/>
                <w:color w:val="auto"/>
                <w:sz w:val="20"/>
              </w:rPr>
              <w:t>5,</w:t>
            </w:r>
            <w:r w:rsidR="001A00E4">
              <w:rPr>
                <w:b/>
                <w:color w:val="auto"/>
                <w:sz w:val="20"/>
              </w:rPr>
              <w:t>539</w:t>
            </w:r>
            <w:r w:rsidR="007D6B3D">
              <w:rPr>
                <w:b/>
                <w:color w:val="auto"/>
                <w:sz w:val="20"/>
              </w:rPr>
              <w:t>)</w:t>
            </w:r>
          </w:p>
        </w:tc>
        <w:tc>
          <w:tcPr>
            <w:tcW w:w="1890" w:type="dxa"/>
            <w:tcBorders>
              <w:left w:val="single" w:sz="4" w:space="0" w:color="auto"/>
              <w:right w:val="single" w:sz="4" w:space="0" w:color="auto"/>
            </w:tcBorders>
            <w:shd w:val="clear" w:color="auto" w:fill="auto"/>
          </w:tcPr>
          <w:p w:rsidR="00595106" w:rsidRPr="00363232" w:rsidRDefault="00595106" w:rsidP="00BB3A3E">
            <w:pPr>
              <w:pStyle w:val="BodyText"/>
              <w:ind w:right="-450" w:hanging="108"/>
              <w:rPr>
                <w:color w:val="auto"/>
                <w:sz w:val="20"/>
              </w:rPr>
            </w:pPr>
            <w:r w:rsidRPr="00363232">
              <w:rPr>
                <w:color w:val="auto"/>
                <w:sz w:val="20"/>
              </w:rPr>
              <w:t xml:space="preserve">       </w:t>
            </w:r>
            <w:r>
              <w:rPr>
                <w:color w:val="auto"/>
                <w:sz w:val="20"/>
              </w:rPr>
              <w:t xml:space="preserve">       </w:t>
            </w:r>
            <w:r w:rsidRPr="00363232">
              <w:rPr>
                <w:color w:val="auto"/>
                <w:sz w:val="20"/>
              </w:rPr>
              <w:t>1</w:t>
            </w:r>
            <w:r w:rsidR="00CA2DC9">
              <w:rPr>
                <w:color w:val="auto"/>
                <w:sz w:val="20"/>
              </w:rPr>
              <w:t>2</w:t>
            </w:r>
            <w:r w:rsidR="00BB3A3E">
              <w:rPr>
                <w:color w:val="auto"/>
                <w:sz w:val="20"/>
              </w:rPr>
              <w:t>4</w:t>
            </w:r>
            <w:r>
              <w:rPr>
                <w:color w:val="auto"/>
                <w:sz w:val="20"/>
              </w:rPr>
              <w:t>,</w:t>
            </w:r>
            <w:r w:rsidR="00BB3A3E">
              <w:rPr>
                <w:color w:val="auto"/>
                <w:sz w:val="20"/>
              </w:rPr>
              <w:t>601</w:t>
            </w:r>
            <w:r>
              <w:rPr>
                <w:color w:val="auto"/>
                <w:sz w:val="20"/>
              </w:rPr>
              <w:t>*</w:t>
            </w:r>
            <w:r w:rsidR="00417695">
              <w:rPr>
                <w:color w:val="auto"/>
                <w:sz w:val="20"/>
              </w:rPr>
              <w:t>*</w:t>
            </w:r>
          </w:p>
        </w:tc>
        <w:tc>
          <w:tcPr>
            <w:tcW w:w="1170" w:type="dxa"/>
            <w:tcBorders>
              <w:left w:val="single" w:sz="4" w:space="0" w:color="auto"/>
              <w:right w:val="single" w:sz="4" w:space="0" w:color="auto"/>
            </w:tcBorders>
            <w:shd w:val="clear" w:color="auto" w:fill="auto"/>
          </w:tcPr>
          <w:p w:rsidR="00595106" w:rsidRPr="00FB4276" w:rsidRDefault="007D6B3D" w:rsidP="009B674C">
            <w:pPr>
              <w:pStyle w:val="BodyText"/>
              <w:ind w:right="-450" w:hanging="108"/>
              <w:rPr>
                <w:b/>
                <w:color w:val="auto"/>
                <w:sz w:val="20"/>
              </w:rPr>
            </w:pPr>
            <w:r>
              <w:rPr>
                <w:b/>
                <w:color w:val="auto"/>
                <w:sz w:val="20"/>
              </w:rPr>
              <w:t xml:space="preserve">  </w:t>
            </w:r>
            <w:r w:rsidR="00FB4276" w:rsidRPr="00FB4276">
              <w:rPr>
                <w:b/>
                <w:color w:val="auto"/>
                <w:sz w:val="20"/>
              </w:rPr>
              <w:t xml:space="preserve"> </w:t>
            </w:r>
            <w:r w:rsidR="00BB3A3E">
              <w:rPr>
                <w:b/>
                <w:color w:val="auto"/>
                <w:sz w:val="20"/>
              </w:rPr>
              <w:t xml:space="preserve"> </w:t>
            </w:r>
            <w:r w:rsidR="00FB4276" w:rsidRPr="00FB4276">
              <w:rPr>
                <w:b/>
                <w:color w:val="auto"/>
                <w:sz w:val="20"/>
              </w:rPr>
              <w:t xml:space="preserve"> (</w:t>
            </w:r>
            <w:r w:rsidR="00BB3A3E">
              <w:rPr>
                <w:b/>
                <w:color w:val="auto"/>
                <w:sz w:val="20"/>
              </w:rPr>
              <w:t>4</w:t>
            </w:r>
            <w:r>
              <w:rPr>
                <w:b/>
                <w:color w:val="auto"/>
                <w:sz w:val="20"/>
              </w:rPr>
              <w:t>,</w:t>
            </w:r>
            <w:r w:rsidR="00BB3A3E">
              <w:rPr>
                <w:b/>
                <w:color w:val="auto"/>
                <w:sz w:val="20"/>
              </w:rPr>
              <w:t>973</w:t>
            </w:r>
            <w:r w:rsidR="00595106" w:rsidRPr="00FB4276">
              <w:rPr>
                <w:b/>
                <w:color w:val="auto"/>
                <w:sz w:val="20"/>
              </w:rPr>
              <w:t>)</w:t>
            </w:r>
          </w:p>
        </w:tc>
        <w:tc>
          <w:tcPr>
            <w:tcW w:w="1890" w:type="dxa"/>
            <w:tcBorders>
              <w:left w:val="single" w:sz="4" w:space="0" w:color="auto"/>
              <w:right w:val="single" w:sz="4" w:space="0" w:color="auto"/>
            </w:tcBorders>
            <w:shd w:val="clear" w:color="auto" w:fill="auto"/>
          </w:tcPr>
          <w:p w:rsidR="00595106" w:rsidRPr="00363232" w:rsidRDefault="00595106" w:rsidP="00B3756D">
            <w:pPr>
              <w:pStyle w:val="BodyText"/>
              <w:ind w:right="-450" w:hanging="108"/>
              <w:rPr>
                <w:color w:val="auto"/>
                <w:sz w:val="20"/>
              </w:rPr>
            </w:pPr>
            <w:r w:rsidRPr="00363232">
              <w:rPr>
                <w:color w:val="auto"/>
                <w:sz w:val="20"/>
              </w:rPr>
              <w:t xml:space="preserve">       </w:t>
            </w:r>
            <w:r>
              <w:rPr>
                <w:color w:val="auto"/>
                <w:sz w:val="20"/>
              </w:rPr>
              <w:t xml:space="preserve">       1</w:t>
            </w:r>
            <w:r w:rsidR="00CA2DC9">
              <w:rPr>
                <w:color w:val="auto"/>
                <w:sz w:val="20"/>
              </w:rPr>
              <w:t>2</w:t>
            </w:r>
            <w:r w:rsidR="00B3756D">
              <w:rPr>
                <w:color w:val="auto"/>
                <w:sz w:val="20"/>
              </w:rPr>
              <w:t>5</w:t>
            </w:r>
            <w:r>
              <w:rPr>
                <w:color w:val="auto"/>
                <w:sz w:val="20"/>
              </w:rPr>
              <w:t>,</w:t>
            </w:r>
            <w:r w:rsidR="00B3756D">
              <w:rPr>
                <w:color w:val="auto"/>
                <w:sz w:val="20"/>
              </w:rPr>
              <w:t>173</w:t>
            </w:r>
            <w:r>
              <w:rPr>
                <w:color w:val="auto"/>
                <w:sz w:val="20"/>
              </w:rPr>
              <w:t>*</w:t>
            </w:r>
            <w:r w:rsidR="00417695">
              <w:rPr>
                <w:color w:val="auto"/>
                <w:sz w:val="20"/>
              </w:rPr>
              <w:t>*</w:t>
            </w:r>
          </w:p>
        </w:tc>
      </w:tr>
      <w:tr w:rsidR="00595106" w:rsidRPr="00C9517D" w:rsidTr="00655CCF">
        <w:tc>
          <w:tcPr>
            <w:tcW w:w="2970" w:type="dxa"/>
            <w:tcBorders>
              <w:right w:val="single" w:sz="4" w:space="0" w:color="auto"/>
            </w:tcBorders>
            <w:shd w:val="clear" w:color="auto" w:fill="auto"/>
          </w:tcPr>
          <w:p w:rsidR="00595106" w:rsidRPr="00052600" w:rsidRDefault="00595106" w:rsidP="00655CCF">
            <w:pPr>
              <w:pStyle w:val="BodyText"/>
              <w:ind w:left="72" w:right="-450"/>
              <w:jc w:val="left"/>
              <w:rPr>
                <w:sz w:val="20"/>
              </w:rPr>
            </w:pPr>
            <w:r w:rsidRPr="00052600">
              <w:rPr>
                <w:sz w:val="20"/>
              </w:rPr>
              <w:t>Adjustments and eliminations</w:t>
            </w:r>
            <w:r w:rsidR="00655CCF">
              <w:rPr>
                <w:sz w:val="20"/>
              </w:rPr>
              <w:t xml:space="preserve"> ***</w:t>
            </w:r>
            <w:r w:rsidR="002E2A4C">
              <w:rPr>
                <w:sz w:val="20"/>
              </w:rPr>
              <w:t xml:space="preserve"> </w:t>
            </w:r>
            <w:r w:rsidRPr="00052600">
              <w:rPr>
                <w:sz w:val="20"/>
              </w:rPr>
              <w:t xml:space="preserve">  </w:t>
            </w:r>
          </w:p>
        </w:tc>
        <w:tc>
          <w:tcPr>
            <w:tcW w:w="1170" w:type="dxa"/>
            <w:tcBorders>
              <w:left w:val="single" w:sz="4" w:space="0" w:color="auto"/>
              <w:right w:val="single" w:sz="4" w:space="0" w:color="auto"/>
            </w:tcBorders>
            <w:shd w:val="clear" w:color="auto" w:fill="auto"/>
          </w:tcPr>
          <w:p w:rsidR="00595106" w:rsidRPr="0091307E" w:rsidRDefault="009B674C" w:rsidP="009B674C">
            <w:pPr>
              <w:pStyle w:val="BodyText"/>
              <w:ind w:right="-450" w:hanging="108"/>
              <w:rPr>
                <w:b/>
                <w:sz w:val="20"/>
              </w:rPr>
            </w:pPr>
            <w:r>
              <w:rPr>
                <w:b/>
                <w:sz w:val="20"/>
              </w:rPr>
              <w:t xml:space="preserve">    </w:t>
            </w:r>
            <w:r w:rsidR="00595106" w:rsidRPr="0091307E">
              <w:rPr>
                <w:b/>
                <w:sz w:val="20"/>
              </w:rPr>
              <w:t>(</w:t>
            </w:r>
            <w:r w:rsidR="00F37828">
              <w:rPr>
                <w:b/>
                <w:sz w:val="20"/>
              </w:rPr>
              <w:t>2</w:t>
            </w:r>
            <w:r w:rsidR="001A00E4">
              <w:rPr>
                <w:b/>
                <w:sz w:val="20"/>
              </w:rPr>
              <w:t>1</w:t>
            </w:r>
            <w:r w:rsidR="00595106" w:rsidRPr="0091307E">
              <w:rPr>
                <w:b/>
                <w:sz w:val="20"/>
              </w:rPr>
              <w:t>,</w:t>
            </w:r>
            <w:r w:rsidR="001A00E4">
              <w:rPr>
                <w:b/>
                <w:sz w:val="20"/>
              </w:rPr>
              <w:t>753</w:t>
            </w:r>
            <w:r w:rsidR="00595106" w:rsidRPr="0091307E">
              <w:rPr>
                <w:b/>
                <w:sz w:val="20"/>
              </w:rPr>
              <w:t>)</w:t>
            </w:r>
          </w:p>
        </w:tc>
        <w:tc>
          <w:tcPr>
            <w:tcW w:w="1890" w:type="dxa"/>
            <w:tcBorders>
              <w:left w:val="single" w:sz="4" w:space="0" w:color="auto"/>
              <w:right w:val="single" w:sz="4" w:space="0" w:color="auto"/>
            </w:tcBorders>
            <w:shd w:val="clear" w:color="auto" w:fill="auto"/>
          </w:tcPr>
          <w:p w:rsidR="00595106" w:rsidRPr="00363232" w:rsidRDefault="002E2A4C" w:rsidP="00BB3A3E">
            <w:pPr>
              <w:pStyle w:val="BodyText"/>
              <w:ind w:right="-450" w:hanging="108"/>
              <w:jc w:val="center"/>
              <w:rPr>
                <w:sz w:val="20"/>
              </w:rPr>
            </w:pPr>
            <w:r>
              <w:rPr>
                <w:sz w:val="20"/>
              </w:rPr>
              <w:t xml:space="preserve"> </w:t>
            </w:r>
            <w:r w:rsidR="00595106" w:rsidRPr="00363232">
              <w:rPr>
                <w:sz w:val="20"/>
              </w:rPr>
              <w:t>(</w:t>
            </w:r>
            <w:r w:rsidR="00F37828">
              <w:rPr>
                <w:sz w:val="20"/>
              </w:rPr>
              <w:t>1</w:t>
            </w:r>
            <w:r w:rsidR="00BB3A3E">
              <w:rPr>
                <w:sz w:val="20"/>
              </w:rPr>
              <w:t>4</w:t>
            </w:r>
            <w:r w:rsidR="00595106" w:rsidRPr="00363232">
              <w:rPr>
                <w:sz w:val="20"/>
              </w:rPr>
              <w:t>,</w:t>
            </w:r>
            <w:r w:rsidR="00BB3A3E">
              <w:rPr>
                <w:sz w:val="20"/>
              </w:rPr>
              <w:t>983</w:t>
            </w:r>
            <w:r w:rsidR="00F37828">
              <w:rPr>
                <w:sz w:val="20"/>
              </w:rPr>
              <w:t>)</w:t>
            </w:r>
          </w:p>
        </w:tc>
        <w:tc>
          <w:tcPr>
            <w:tcW w:w="1170" w:type="dxa"/>
            <w:tcBorders>
              <w:left w:val="single" w:sz="4" w:space="0" w:color="auto"/>
              <w:right w:val="single" w:sz="4" w:space="0" w:color="auto"/>
            </w:tcBorders>
            <w:shd w:val="clear" w:color="auto" w:fill="auto"/>
          </w:tcPr>
          <w:p w:rsidR="00595106" w:rsidRPr="00FB4276" w:rsidRDefault="00595106" w:rsidP="009B674C">
            <w:pPr>
              <w:pStyle w:val="BodyText"/>
              <w:ind w:right="-450" w:hanging="108"/>
              <w:rPr>
                <w:b/>
                <w:sz w:val="20"/>
              </w:rPr>
            </w:pPr>
            <w:r w:rsidRPr="00FB4276">
              <w:rPr>
                <w:b/>
                <w:sz w:val="20"/>
              </w:rPr>
              <w:t xml:space="preserve">  </w:t>
            </w:r>
            <w:r w:rsidR="002E2A4C">
              <w:rPr>
                <w:b/>
                <w:sz w:val="20"/>
              </w:rPr>
              <w:t xml:space="preserve"> </w:t>
            </w:r>
            <w:r w:rsidRPr="00FB4276">
              <w:rPr>
                <w:b/>
                <w:sz w:val="20"/>
              </w:rPr>
              <w:t>(</w:t>
            </w:r>
            <w:r w:rsidR="00F37828">
              <w:rPr>
                <w:b/>
                <w:sz w:val="20"/>
              </w:rPr>
              <w:t>4</w:t>
            </w:r>
            <w:r w:rsidR="00BB3A3E">
              <w:rPr>
                <w:b/>
                <w:sz w:val="20"/>
              </w:rPr>
              <w:t>0</w:t>
            </w:r>
            <w:r w:rsidRPr="00FB4276">
              <w:rPr>
                <w:b/>
                <w:sz w:val="20"/>
              </w:rPr>
              <w:t>,</w:t>
            </w:r>
            <w:r w:rsidR="00BB3A3E">
              <w:rPr>
                <w:b/>
                <w:sz w:val="20"/>
              </w:rPr>
              <w:t>169</w:t>
            </w:r>
            <w:r w:rsidRPr="00FB4276">
              <w:rPr>
                <w:b/>
                <w:sz w:val="20"/>
              </w:rPr>
              <w:t>)</w:t>
            </w:r>
          </w:p>
        </w:tc>
        <w:tc>
          <w:tcPr>
            <w:tcW w:w="1890" w:type="dxa"/>
            <w:tcBorders>
              <w:left w:val="single" w:sz="4" w:space="0" w:color="auto"/>
              <w:right w:val="single" w:sz="4" w:space="0" w:color="auto"/>
            </w:tcBorders>
            <w:shd w:val="clear" w:color="auto" w:fill="auto"/>
          </w:tcPr>
          <w:p w:rsidR="00595106" w:rsidRPr="00363232" w:rsidRDefault="002E2A4C" w:rsidP="00B3756D">
            <w:pPr>
              <w:pStyle w:val="BodyText"/>
              <w:ind w:right="-450" w:hanging="108"/>
              <w:jc w:val="center"/>
              <w:rPr>
                <w:sz w:val="20"/>
              </w:rPr>
            </w:pPr>
            <w:r>
              <w:rPr>
                <w:sz w:val="20"/>
              </w:rPr>
              <w:t xml:space="preserve"> </w:t>
            </w:r>
            <w:r w:rsidR="00595106" w:rsidRPr="00363232">
              <w:rPr>
                <w:sz w:val="20"/>
              </w:rPr>
              <w:t>(</w:t>
            </w:r>
            <w:r w:rsidR="00F37828">
              <w:rPr>
                <w:sz w:val="20"/>
              </w:rPr>
              <w:t>26</w:t>
            </w:r>
            <w:r w:rsidR="00595106" w:rsidRPr="00363232">
              <w:rPr>
                <w:sz w:val="20"/>
              </w:rPr>
              <w:t>,</w:t>
            </w:r>
            <w:r w:rsidR="00B3756D">
              <w:rPr>
                <w:sz w:val="20"/>
              </w:rPr>
              <w:t>073</w:t>
            </w:r>
            <w:r w:rsidR="00595106" w:rsidRPr="00363232">
              <w:rPr>
                <w:sz w:val="20"/>
              </w:rPr>
              <w:t>)</w:t>
            </w:r>
          </w:p>
        </w:tc>
      </w:tr>
      <w:tr w:rsidR="00595106" w:rsidRPr="00C9517D" w:rsidTr="00655CCF">
        <w:tc>
          <w:tcPr>
            <w:tcW w:w="2970" w:type="dxa"/>
            <w:tcBorders>
              <w:right w:val="single" w:sz="4" w:space="0" w:color="auto"/>
            </w:tcBorders>
            <w:shd w:val="clear" w:color="auto" w:fill="auto"/>
          </w:tcPr>
          <w:p w:rsidR="00595106" w:rsidRPr="00052600" w:rsidRDefault="00595106" w:rsidP="00684D6B">
            <w:pPr>
              <w:pStyle w:val="BodyText"/>
              <w:ind w:right="-108" w:firstLine="72"/>
              <w:rPr>
                <w:sz w:val="20"/>
              </w:rPr>
            </w:pPr>
            <w:r w:rsidRPr="00052600">
              <w:rPr>
                <w:sz w:val="20"/>
              </w:rPr>
              <w:t>Profit from operations</w:t>
            </w:r>
          </w:p>
        </w:tc>
        <w:tc>
          <w:tcPr>
            <w:tcW w:w="1170" w:type="dxa"/>
            <w:tcBorders>
              <w:top w:val="single" w:sz="4" w:space="0" w:color="auto"/>
              <w:left w:val="single" w:sz="4" w:space="0" w:color="auto"/>
              <w:right w:val="single" w:sz="4" w:space="0" w:color="auto"/>
            </w:tcBorders>
            <w:shd w:val="clear" w:color="auto" w:fill="auto"/>
          </w:tcPr>
          <w:p w:rsidR="00595106" w:rsidRPr="0091307E" w:rsidRDefault="0091307E" w:rsidP="009B674C">
            <w:pPr>
              <w:pStyle w:val="BodyText"/>
              <w:ind w:right="-450" w:hanging="108"/>
              <w:rPr>
                <w:b/>
                <w:color w:val="auto"/>
                <w:sz w:val="20"/>
              </w:rPr>
            </w:pPr>
            <w:r w:rsidRPr="0091307E">
              <w:rPr>
                <w:b/>
                <w:color w:val="auto"/>
                <w:sz w:val="20"/>
              </w:rPr>
              <w:t xml:space="preserve">   </w:t>
            </w:r>
            <w:r w:rsidR="009B674C">
              <w:rPr>
                <w:b/>
                <w:color w:val="auto"/>
                <w:sz w:val="20"/>
              </w:rPr>
              <w:t xml:space="preserve"> </w:t>
            </w:r>
            <w:r w:rsidR="001A00E4">
              <w:rPr>
                <w:b/>
                <w:color w:val="auto"/>
                <w:sz w:val="20"/>
              </w:rPr>
              <w:t xml:space="preserve">   4,194</w:t>
            </w:r>
          </w:p>
        </w:tc>
        <w:tc>
          <w:tcPr>
            <w:tcW w:w="1890" w:type="dxa"/>
            <w:tcBorders>
              <w:top w:val="single" w:sz="4" w:space="0" w:color="auto"/>
              <w:left w:val="single" w:sz="4" w:space="0" w:color="auto"/>
              <w:right w:val="single" w:sz="4" w:space="0" w:color="auto"/>
            </w:tcBorders>
            <w:shd w:val="clear" w:color="auto" w:fill="auto"/>
          </w:tcPr>
          <w:p w:rsidR="00595106" w:rsidRPr="00363232" w:rsidRDefault="00F37828" w:rsidP="00BB3A3E">
            <w:pPr>
              <w:pStyle w:val="BodyText"/>
              <w:ind w:right="-450" w:hanging="108"/>
              <w:rPr>
                <w:color w:val="auto"/>
                <w:sz w:val="20"/>
              </w:rPr>
            </w:pPr>
            <w:r>
              <w:rPr>
                <w:sz w:val="20"/>
              </w:rPr>
              <w:t xml:space="preserve"> </w:t>
            </w:r>
            <w:r w:rsidR="00595106" w:rsidRPr="00363232">
              <w:rPr>
                <w:sz w:val="20"/>
              </w:rPr>
              <w:t xml:space="preserve">      </w:t>
            </w:r>
            <w:r w:rsidR="00595106">
              <w:rPr>
                <w:sz w:val="20"/>
              </w:rPr>
              <w:t xml:space="preserve">       </w:t>
            </w:r>
            <w:r>
              <w:rPr>
                <w:sz w:val="20"/>
              </w:rPr>
              <w:t>10</w:t>
            </w:r>
            <w:r w:rsidR="00BB3A3E">
              <w:rPr>
                <w:sz w:val="20"/>
              </w:rPr>
              <w:t>1</w:t>
            </w:r>
            <w:r>
              <w:rPr>
                <w:sz w:val="20"/>
              </w:rPr>
              <w:t>,</w:t>
            </w:r>
            <w:r w:rsidR="00BB3A3E">
              <w:rPr>
                <w:sz w:val="20"/>
              </w:rPr>
              <w:t>867</w:t>
            </w:r>
          </w:p>
        </w:tc>
        <w:tc>
          <w:tcPr>
            <w:tcW w:w="1170" w:type="dxa"/>
            <w:tcBorders>
              <w:top w:val="single" w:sz="4" w:space="0" w:color="auto"/>
              <w:left w:val="single" w:sz="4" w:space="0" w:color="auto"/>
              <w:right w:val="single" w:sz="4" w:space="0" w:color="auto"/>
            </w:tcBorders>
            <w:shd w:val="clear" w:color="auto" w:fill="auto"/>
          </w:tcPr>
          <w:p w:rsidR="00595106" w:rsidRPr="00FB4276" w:rsidRDefault="00FB4276" w:rsidP="009B674C">
            <w:pPr>
              <w:pStyle w:val="BodyText"/>
              <w:ind w:right="-450" w:hanging="108"/>
              <w:rPr>
                <w:b/>
                <w:color w:val="auto"/>
                <w:sz w:val="20"/>
              </w:rPr>
            </w:pPr>
            <w:r w:rsidRPr="00FB4276">
              <w:rPr>
                <w:b/>
                <w:color w:val="auto"/>
                <w:sz w:val="20"/>
              </w:rPr>
              <w:t xml:space="preserve">   (</w:t>
            </w:r>
            <w:r w:rsidR="00BB3A3E">
              <w:rPr>
                <w:b/>
                <w:color w:val="auto"/>
                <w:sz w:val="20"/>
              </w:rPr>
              <w:t>19</w:t>
            </w:r>
            <w:r w:rsidRPr="00FB4276">
              <w:rPr>
                <w:b/>
                <w:color w:val="auto"/>
                <w:sz w:val="20"/>
              </w:rPr>
              <w:t>,</w:t>
            </w:r>
            <w:r w:rsidR="00BB3A3E">
              <w:rPr>
                <w:b/>
                <w:color w:val="auto"/>
                <w:sz w:val="20"/>
              </w:rPr>
              <w:t>366</w:t>
            </w:r>
            <w:r w:rsidR="00595106" w:rsidRPr="00FB4276">
              <w:rPr>
                <w:b/>
                <w:color w:val="auto"/>
                <w:sz w:val="20"/>
              </w:rPr>
              <w:t>)</w:t>
            </w:r>
          </w:p>
        </w:tc>
        <w:tc>
          <w:tcPr>
            <w:tcW w:w="1890" w:type="dxa"/>
            <w:tcBorders>
              <w:top w:val="single" w:sz="4" w:space="0" w:color="auto"/>
              <w:left w:val="single" w:sz="4" w:space="0" w:color="auto"/>
              <w:right w:val="single" w:sz="4" w:space="0" w:color="auto"/>
            </w:tcBorders>
            <w:shd w:val="clear" w:color="auto" w:fill="auto"/>
          </w:tcPr>
          <w:p w:rsidR="00595106" w:rsidRPr="00363232" w:rsidRDefault="00F37828" w:rsidP="00B3756D">
            <w:pPr>
              <w:pStyle w:val="BodyText"/>
              <w:ind w:right="-450" w:hanging="108"/>
              <w:rPr>
                <w:color w:val="auto"/>
                <w:sz w:val="20"/>
              </w:rPr>
            </w:pPr>
            <w:r>
              <w:rPr>
                <w:sz w:val="20"/>
              </w:rPr>
              <w:t xml:space="preserve"> </w:t>
            </w:r>
            <w:r w:rsidR="00595106" w:rsidRPr="00363232">
              <w:rPr>
                <w:sz w:val="20"/>
              </w:rPr>
              <w:t xml:space="preserve">    </w:t>
            </w:r>
            <w:r w:rsidR="00595106">
              <w:rPr>
                <w:sz w:val="20"/>
              </w:rPr>
              <w:t xml:space="preserve">       </w:t>
            </w:r>
            <w:r w:rsidR="00A30AC6">
              <w:rPr>
                <w:sz w:val="20"/>
              </w:rPr>
              <w:t xml:space="preserve">  </w:t>
            </w:r>
            <w:r>
              <w:rPr>
                <w:sz w:val="20"/>
              </w:rPr>
              <w:t>10</w:t>
            </w:r>
            <w:r w:rsidR="00B3756D">
              <w:rPr>
                <w:sz w:val="20"/>
              </w:rPr>
              <w:t>7</w:t>
            </w:r>
            <w:r>
              <w:rPr>
                <w:sz w:val="20"/>
              </w:rPr>
              <w:t>,</w:t>
            </w:r>
            <w:r w:rsidR="00B3756D">
              <w:rPr>
                <w:sz w:val="20"/>
              </w:rPr>
              <w:t>370</w:t>
            </w:r>
          </w:p>
        </w:tc>
      </w:tr>
      <w:tr w:rsidR="00595106" w:rsidRPr="00C9517D" w:rsidTr="00655CCF">
        <w:tc>
          <w:tcPr>
            <w:tcW w:w="2970" w:type="dxa"/>
            <w:tcBorders>
              <w:right w:val="single" w:sz="4" w:space="0" w:color="auto"/>
            </w:tcBorders>
            <w:shd w:val="clear" w:color="auto" w:fill="auto"/>
          </w:tcPr>
          <w:p w:rsidR="00595106" w:rsidRPr="00052600" w:rsidRDefault="00595106" w:rsidP="00684D6B">
            <w:pPr>
              <w:pStyle w:val="BodyText"/>
              <w:ind w:right="-108" w:firstLine="72"/>
              <w:rPr>
                <w:sz w:val="20"/>
              </w:rPr>
            </w:pPr>
            <w:r w:rsidRPr="00052600">
              <w:rPr>
                <w:sz w:val="20"/>
              </w:rPr>
              <w:t>Share of results of associates</w:t>
            </w:r>
          </w:p>
        </w:tc>
        <w:tc>
          <w:tcPr>
            <w:tcW w:w="1170" w:type="dxa"/>
            <w:tcBorders>
              <w:left w:val="single" w:sz="4" w:space="0" w:color="auto"/>
              <w:bottom w:val="single" w:sz="2" w:space="0" w:color="auto"/>
              <w:right w:val="single" w:sz="4" w:space="0" w:color="auto"/>
            </w:tcBorders>
            <w:shd w:val="clear" w:color="auto" w:fill="auto"/>
          </w:tcPr>
          <w:p w:rsidR="00595106" w:rsidRPr="0091307E" w:rsidRDefault="0091307E" w:rsidP="0091307E">
            <w:pPr>
              <w:pStyle w:val="BodyText"/>
              <w:ind w:right="-450" w:hanging="108"/>
              <w:jc w:val="center"/>
              <w:rPr>
                <w:b/>
                <w:color w:val="auto"/>
                <w:sz w:val="20"/>
              </w:rPr>
            </w:pPr>
            <w:r w:rsidRPr="0091307E">
              <w:rPr>
                <w:b/>
                <w:color w:val="auto"/>
                <w:sz w:val="20"/>
              </w:rPr>
              <w:t>(78)</w:t>
            </w:r>
          </w:p>
        </w:tc>
        <w:tc>
          <w:tcPr>
            <w:tcW w:w="1890" w:type="dxa"/>
            <w:tcBorders>
              <w:left w:val="single" w:sz="4" w:space="0" w:color="auto"/>
              <w:bottom w:val="single" w:sz="2" w:space="0" w:color="auto"/>
              <w:right w:val="single" w:sz="4" w:space="0" w:color="auto"/>
            </w:tcBorders>
            <w:shd w:val="clear" w:color="auto" w:fill="auto"/>
          </w:tcPr>
          <w:p w:rsidR="00595106" w:rsidRPr="00363232" w:rsidRDefault="00A30AC6" w:rsidP="00D46163">
            <w:pPr>
              <w:pStyle w:val="BodyText"/>
              <w:ind w:right="-450" w:hanging="108"/>
              <w:jc w:val="center"/>
              <w:rPr>
                <w:color w:val="auto"/>
                <w:sz w:val="20"/>
              </w:rPr>
            </w:pPr>
            <w:r>
              <w:rPr>
                <w:sz w:val="20"/>
              </w:rPr>
              <w:t xml:space="preserve"> </w:t>
            </w:r>
            <w:r w:rsidR="00595106" w:rsidRPr="00363232">
              <w:rPr>
                <w:sz w:val="20"/>
              </w:rPr>
              <w:t xml:space="preserve">    </w:t>
            </w:r>
            <w:r>
              <w:rPr>
                <w:sz w:val="20"/>
              </w:rPr>
              <w:t>(</w:t>
            </w:r>
            <w:r w:rsidR="00BB3A3E">
              <w:rPr>
                <w:sz w:val="20"/>
              </w:rPr>
              <w:t>1</w:t>
            </w:r>
            <w:r>
              <w:rPr>
                <w:sz w:val="20"/>
              </w:rPr>
              <w:t>98)</w:t>
            </w:r>
          </w:p>
        </w:tc>
        <w:tc>
          <w:tcPr>
            <w:tcW w:w="1170" w:type="dxa"/>
            <w:tcBorders>
              <w:left w:val="single" w:sz="4" w:space="0" w:color="auto"/>
              <w:bottom w:val="single" w:sz="2" w:space="0" w:color="auto"/>
              <w:right w:val="single" w:sz="4" w:space="0" w:color="auto"/>
            </w:tcBorders>
            <w:shd w:val="clear" w:color="auto" w:fill="auto"/>
          </w:tcPr>
          <w:p w:rsidR="00595106" w:rsidRPr="00FB4276" w:rsidRDefault="009B674C" w:rsidP="009B674C">
            <w:pPr>
              <w:pStyle w:val="BodyText"/>
              <w:ind w:right="-450" w:hanging="108"/>
              <w:jc w:val="left"/>
              <w:rPr>
                <w:b/>
                <w:color w:val="auto"/>
                <w:sz w:val="20"/>
              </w:rPr>
            </w:pPr>
            <w:r>
              <w:rPr>
                <w:b/>
                <w:color w:val="auto"/>
                <w:sz w:val="20"/>
              </w:rPr>
              <w:t xml:space="preserve">          </w:t>
            </w:r>
            <w:r w:rsidR="00FB4276" w:rsidRPr="00FB4276">
              <w:rPr>
                <w:b/>
                <w:color w:val="auto"/>
                <w:sz w:val="20"/>
              </w:rPr>
              <w:t>122</w:t>
            </w:r>
          </w:p>
        </w:tc>
        <w:tc>
          <w:tcPr>
            <w:tcW w:w="1890" w:type="dxa"/>
            <w:tcBorders>
              <w:left w:val="single" w:sz="4" w:space="0" w:color="auto"/>
              <w:bottom w:val="single" w:sz="2" w:space="0" w:color="auto"/>
              <w:right w:val="single" w:sz="4" w:space="0" w:color="auto"/>
            </w:tcBorders>
            <w:shd w:val="clear" w:color="auto" w:fill="auto"/>
          </w:tcPr>
          <w:p w:rsidR="00595106" w:rsidRPr="00363232" w:rsidRDefault="00A30AC6" w:rsidP="00B3756D">
            <w:pPr>
              <w:pStyle w:val="BodyText"/>
              <w:ind w:right="-450" w:hanging="108"/>
              <w:jc w:val="center"/>
              <w:rPr>
                <w:color w:val="auto"/>
                <w:sz w:val="20"/>
              </w:rPr>
            </w:pPr>
            <w:r>
              <w:rPr>
                <w:sz w:val="20"/>
              </w:rPr>
              <w:t xml:space="preserve">  </w:t>
            </w:r>
            <w:r w:rsidR="00595106" w:rsidRPr="00363232">
              <w:rPr>
                <w:sz w:val="20"/>
              </w:rPr>
              <w:t xml:space="preserve">  </w:t>
            </w:r>
            <w:r>
              <w:rPr>
                <w:sz w:val="20"/>
              </w:rPr>
              <w:t>(</w:t>
            </w:r>
            <w:r w:rsidR="00B3756D">
              <w:rPr>
                <w:sz w:val="20"/>
              </w:rPr>
              <w:t>2</w:t>
            </w:r>
            <w:r>
              <w:rPr>
                <w:sz w:val="20"/>
              </w:rPr>
              <w:t>67)</w:t>
            </w:r>
          </w:p>
        </w:tc>
      </w:tr>
      <w:tr w:rsidR="00595106" w:rsidRPr="00BC3B33" w:rsidTr="00655CCF">
        <w:tc>
          <w:tcPr>
            <w:tcW w:w="2970" w:type="dxa"/>
            <w:tcBorders>
              <w:right w:val="single" w:sz="2" w:space="0" w:color="auto"/>
            </w:tcBorders>
            <w:shd w:val="clear" w:color="auto" w:fill="auto"/>
          </w:tcPr>
          <w:p w:rsidR="00595106" w:rsidRPr="00052600" w:rsidRDefault="00595106" w:rsidP="009303F4">
            <w:pPr>
              <w:pStyle w:val="BodyText"/>
              <w:ind w:left="72" w:right="-108"/>
              <w:jc w:val="left"/>
              <w:rPr>
                <w:sz w:val="20"/>
              </w:rPr>
            </w:pPr>
            <w:r w:rsidRPr="00052600">
              <w:rPr>
                <w:sz w:val="20"/>
              </w:rPr>
              <w:t>Profit</w:t>
            </w:r>
            <w:r w:rsidR="002E2A4C">
              <w:rPr>
                <w:sz w:val="20"/>
              </w:rPr>
              <w:t>/(loss)</w:t>
            </w:r>
            <w:r w:rsidRPr="00052600">
              <w:rPr>
                <w:sz w:val="20"/>
              </w:rPr>
              <w:t xml:space="preserve"> before tax</w:t>
            </w:r>
          </w:p>
        </w:tc>
        <w:tc>
          <w:tcPr>
            <w:tcW w:w="1170" w:type="dxa"/>
            <w:tcBorders>
              <w:top w:val="single" w:sz="2" w:space="0" w:color="auto"/>
              <w:left w:val="single" w:sz="2" w:space="0" w:color="auto"/>
              <w:bottom w:val="single" w:sz="2" w:space="0" w:color="auto"/>
              <w:right w:val="single" w:sz="2" w:space="0" w:color="auto"/>
            </w:tcBorders>
            <w:shd w:val="clear" w:color="auto" w:fill="auto"/>
          </w:tcPr>
          <w:p w:rsidR="00595106" w:rsidRPr="0091307E" w:rsidRDefault="00595106" w:rsidP="001A00E4">
            <w:pPr>
              <w:pStyle w:val="BodyText"/>
              <w:ind w:right="-108" w:hanging="108"/>
              <w:jc w:val="center"/>
              <w:rPr>
                <w:b/>
                <w:sz w:val="20"/>
              </w:rPr>
            </w:pPr>
            <w:r w:rsidRPr="0091307E">
              <w:rPr>
                <w:b/>
                <w:sz w:val="20"/>
              </w:rPr>
              <w:t xml:space="preserve"> </w:t>
            </w:r>
            <w:r w:rsidR="001A00E4">
              <w:rPr>
                <w:b/>
                <w:sz w:val="20"/>
              </w:rPr>
              <w:t>4,116</w:t>
            </w: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595106" w:rsidRPr="00363232" w:rsidRDefault="00A30AC6" w:rsidP="00BB3A3E">
            <w:pPr>
              <w:pStyle w:val="BodyText"/>
              <w:ind w:right="-108" w:hanging="108"/>
              <w:jc w:val="center"/>
              <w:rPr>
                <w:sz w:val="20"/>
              </w:rPr>
            </w:pPr>
            <w:r>
              <w:rPr>
                <w:sz w:val="20"/>
              </w:rPr>
              <w:t xml:space="preserve">  </w:t>
            </w:r>
            <w:r w:rsidR="00595106" w:rsidRPr="00363232">
              <w:rPr>
                <w:sz w:val="20"/>
              </w:rPr>
              <w:t xml:space="preserve">   </w:t>
            </w:r>
            <w:r w:rsidR="00F37828">
              <w:rPr>
                <w:sz w:val="20"/>
              </w:rPr>
              <w:t>10</w:t>
            </w:r>
            <w:r w:rsidR="00BB3A3E">
              <w:rPr>
                <w:sz w:val="20"/>
              </w:rPr>
              <w:t>1</w:t>
            </w:r>
            <w:r w:rsidR="00F37828">
              <w:rPr>
                <w:sz w:val="20"/>
              </w:rPr>
              <w:t>,</w:t>
            </w:r>
            <w:r w:rsidR="00BB3A3E">
              <w:rPr>
                <w:sz w:val="20"/>
              </w:rPr>
              <w:t>669</w:t>
            </w:r>
          </w:p>
        </w:tc>
        <w:tc>
          <w:tcPr>
            <w:tcW w:w="1170" w:type="dxa"/>
            <w:tcBorders>
              <w:top w:val="single" w:sz="2" w:space="0" w:color="auto"/>
              <w:left w:val="single" w:sz="2" w:space="0" w:color="auto"/>
              <w:bottom w:val="single" w:sz="2" w:space="0" w:color="auto"/>
              <w:right w:val="single" w:sz="2" w:space="0" w:color="auto"/>
            </w:tcBorders>
            <w:shd w:val="clear" w:color="auto" w:fill="auto"/>
          </w:tcPr>
          <w:p w:rsidR="00595106" w:rsidRPr="00FB4276" w:rsidRDefault="009B674C" w:rsidP="009B674C">
            <w:pPr>
              <w:pStyle w:val="BodyText"/>
              <w:ind w:right="-108" w:hanging="108"/>
              <w:jc w:val="left"/>
              <w:rPr>
                <w:b/>
                <w:sz w:val="20"/>
              </w:rPr>
            </w:pPr>
            <w:r>
              <w:rPr>
                <w:b/>
                <w:sz w:val="20"/>
              </w:rPr>
              <w:t xml:space="preserve">    </w:t>
            </w:r>
            <w:r w:rsidR="00595106" w:rsidRPr="00FB4276">
              <w:rPr>
                <w:b/>
                <w:sz w:val="20"/>
              </w:rPr>
              <w:t>(</w:t>
            </w:r>
            <w:r w:rsidR="00BB3A3E">
              <w:rPr>
                <w:b/>
                <w:sz w:val="20"/>
              </w:rPr>
              <w:t>19,244</w:t>
            </w:r>
            <w:r w:rsidR="00595106" w:rsidRPr="00FB4276">
              <w:rPr>
                <w:b/>
                <w:sz w:val="20"/>
              </w:rPr>
              <w:t>)</w:t>
            </w: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595106" w:rsidRPr="00363232" w:rsidRDefault="00595106" w:rsidP="00B3756D">
            <w:pPr>
              <w:pStyle w:val="BodyText"/>
              <w:ind w:right="-108" w:hanging="108"/>
              <w:jc w:val="center"/>
              <w:rPr>
                <w:sz w:val="20"/>
              </w:rPr>
            </w:pPr>
            <w:r w:rsidRPr="00363232">
              <w:rPr>
                <w:sz w:val="20"/>
              </w:rPr>
              <w:t xml:space="preserve">     </w:t>
            </w:r>
            <w:r w:rsidR="00F37828">
              <w:rPr>
                <w:sz w:val="20"/>
              </w:rPr>
              <w:t>10</w:t>
            </w:r>
            <w:r w:rsidR="00B3756D">
              <w:rPr>
                <w:sz w:val="20"/>
              </w:rPr>
              <w:t>7</w:t>
            </w:r>
            <w:r w:rsidR="00F37828">
              <w:rPr>
                <w:sz w:val="20"/>
              </w:rPr>
              <w:t>,</w:t>
            </w:r>
            <w:r w:rsidR="00B3756D">
              <w:rPr>
                <w:sz w:val="20"/>
              </w:rPr>
              <w:t>103</w:t>
            </w:r>
          </w:p>
        </w:tc>
      </w:tr>
      <w:tr w:rsidR="00A30AC6" w:rsidRPr="00BC3B33" w:rsidTr="00655CCF">
        <w:tc>
          <w:tcPr>
            <w:tcW w:w="2970" w:type="dxa"/>
            <w:tcBorders>
              <w:right w:val="single" w:sz="4" w:space="0" w:color="auto"/>
            </w:tcBorders>
            <w:shd w:val="clear" w:color="auto" w:fill="auto"/>
          </w:tcPr>
          <w:p w:rsidR="004B03EE" w:rsidRDefault="004B03EE" w:rsidP="00684D6B">
            <w:pPr>
              <w:pStyle w:val="BodyText"/>
              <w:ind w:right="-108" w:firstLine="72"/>
              <w:rPr>
                <w:b/>
                <w:sz w:val="20"/>
              </w:rPr>
            </w:pPr>
          </w:p>
          <w:p w:rsidR="009B674C" w:rsidRDefault="009B674C" w:rsidP="009B674C">
            <w:pPr>
              <w:pStyle w:val="BodyText"/>
              <w:ind w:right="-108" w:firstLine="72"/>
              <w:jc w:val="left"/>
              <w:rPr>
                <w:b/>
                <w:color w:val="auto"/>
                <w:sz w:val="20"/>
              </w:rPr>
            </w:pPr>
            <w:r w:rsidRPr="002E2A4C">
              <w:rPr>
                <w:b/>
                <w:color w:val="auto"/>
                <w:sz w:val="20"/>
              </w:rPr>
              <w:t xml:space="preserve">Discontinued operation </w:t>
            </w:r>
            <w:r>
              <w:rPr>
                <w:b/>
                <w:color w:val="auto"/>
                <w:sz w:val="20"/>
              </w:rPr>
              <w:t>–</w:t>
            </w:r>
            <w:r w:rsidRPr="002E2A4C">
              <w:rPr>
                <w:b/>
                <w:color w:val="auto"/>
                <w:sz w:val="20"/>
              </w:rPr>
              <w:t xml:space="preserve"> Card</w:t>
            </w:r>
          </w:p>
          <w:p w:rsidR="00A30AC6" w:rsidRPr="00052600" w:rsidRDefault="009B674C" w:rsidP="009B674C">
            <w:pPr>
              <w:pStyle w:val="BodyText"/>
              <w:ind w:right="-108" w:firstLine="72"/>
              <w:jc w:val="left"/>
              <w:rPr>
                <w:sz w:val="20"/>
              </w:rPr>
            </w:pPr>
            <w:r w:rsidRPr="009B674C">
              <w:rPr>
                <w:b/>
                <w:color w:val="auto"/>
                <w:sz w:val="20"/>
              </w:rPr>
              <w:t>and Payment Services</w:t>
            </w:r>
          </w:p>
        </w:tc>
        <w:tc>
          <w:tcPr>
            <w:tcW w:w="1170" w:type="dxa"/>
            <w:tcBorders>
              <w:top w:val="single" w:sz="2" w:space="0" w:color="auto"/>
              <w:left w:val="single" w:sz="4" w:space="0" w:color="auto"/>
              <w:right w:val="single" w:sz="4" w:space="0" w:color="auto"/>
            </w:tcBorders>
            <w:shd w:val="clear" w:color="auto" w:fill="auto"/>
          </w:tcPr>
          <w:p w:rsidR="00A30AC6" w:rsidRPr="0091307E" w:rsidRDefault="00A30AC6" w:rsidP="001A00E4">
            <w:pPr>
              <w:pStyle w:val="BodyText"/>
              <w:ind w:right="-108" w:hanging="108"/>
              <w:jc w:val="center"/>
              <w:rPr>
                <w:b/>
                <w:sz w:val="20"/>
              </w:rPr>
            </w:pPr>
          </w:p>
        </w:tc>
        <w:tc>
          <w:tcPr>
            <w:tcW w:w="1890" w:type="dxa"/>
            <w:tcBorders>
              <w:top w:val="single" w:sz="2" w:space="0" w:color="auto"/>
              <w:left w:val="single" w:sz="4" w:space="0" w:color="auto"/>
              <w:right w:val="single" w:sz="4" w:space="0" w:color="auto"/>
            </w:tcBorders>
            <w:shd w:val="clear" w:color="auto" w:fill="auto"/>
          </w:tcPr>
          <w:p w:rsidR="00A30AC6" w:rsidRPr="00363232" w:rsidRDefault="00A30AC6" w:rsidP="00D46163">
            <w:pPr>
              <w:pStyle w:val="BodyText"/>
              <w:ind w:right="-108" w:hanging="108"/>
              <w:jc w:val="center"/>
              <w:rPr>
                <w:sz w:val="20"/>
              </w:rPr>
            </w:pPr>
          </w:p>
        </w:tc>
        <w:tc>
          <w:tcPr>
            <w:tcW w:w="1170" w:type="dxa"/>
            <w:tcBorders>
              <w:top w:val="single" w:sz="2" w:space="0" w:color="auto"/>
              <w:left w:val="single" w:sz="4" w:space="0" w:color="auto"/>
              <w:right w:val="single" w:sz="4" w:space="0" w:color="auto"/>
            </w:tcBorders>
            <w:shd w:val="clear" w:color="auto" w:fill="auto"/>
          </w:tcPr>
          <w:p w:rsidR="00A30AC6" w:rsidRPr="00FB4276" w:rsidRDefault="00A30AC6" w:rsidP="00C8053D">
            <w:pPr>
              <w:pStyle w:val="BodyText"/>
              <w:ind w:right="-108" w:hanging="108"/>
              <w:jc w:val="center"/>
              <w:rPr>
                <w:b/>
                <w:sz w:val="20"/>
              </w:rPr>
            </w:pPr>
          </w:p>
        </w:tc>
        <w:tc>
          <w:tcPr>
            <w:tcW w:w="1890" w:type="dxa"/>
            <w:tcBorders>
              <w:top w:val="single" w:sz="2" w:space="0" w:color="auto"/>
              <w:left w:val="single" w:sz="4" w:space="0" w:color="auto"/>
              <w:right w:val="single" w:sz="4" w:space="0" w:color="auto"/>
            </w:tcBorders>
            <w:shd w:val="clear" w:color="auto" w:fill="auto"/>
          </w:tcPr>
          <w:p w:rsidR="00A30AC6" w:rsidRPr="00363232" w:rsidRDefault="00A30AC6" w:rsidP="00D46163">
            <w:pPr>
              <w:pStyle w:val="BodyText"/>
              <w:ind w:right="-108" w:hanging="108"/>
              <w:jc w:val="center"/>
              <w:rPr>
                <w:sz w:val="20"/>
              </w:rPr>
            </w:pPr>
          </w:p>
        </w:tc>
      </w:tr>
      <w:tr w:rsidR="009303F4" w:rsidRPr="00BC3B33" w:rsidTr="00655CCF">
        <w:tc>
          <w:tcPr>
            <w:tcW w:w="2970" w:type="dxa"/>
            <w:tcBorders>
              <w:right w:val="single" w:sz="4" w:space="0" w:color="auto"/>
            </w:tcBorders>
            <w:shd w:val="clear" w:color="auto" w:fill="auto"/>
          </w:tcPr>
          <w:p w:rsidR="009303F4" w:rsidRPr="00052600" w:rsidRDefault="009303F4" w:rsidP="009303F4">
            <w:pPr>
              <w:pStyle w:val="BodyText"/>
              <w:ind w:right="-108" w:firstLine="72"/>
              <w:rPr>
                <w:sz w:val="20"/>
              </w:rPr>
            </w:pPr>
            <w:r>
              <w:rPr>
                <w:sz w:val="20"/>
              </w:rPr>
              <w:t>Profit before interest and tax</w:t>
            </w:r>
          </w:p>
        </w:tc>
        <w:tc>
          <w:tcPr>
            <w:tcW w:w="1170" w:type="dxa"/>
            <w:tcBorders>
              <w:left w:val="single" w:sz="4" w:space="0" w:color="auto"/>
              <w:right w:val="single" w:sz="4" w:space="0" w:color="auto"/>
            </w:tcBorders>
            <w:shd w:val="clear" w:color="auto" w:fill="auto"/>
          </w:tcPr>
          <w:p w:rsidR="009303F4" w:rsidRPr="0091307E" w:rsidRDefault="009303F4" w:rsidP="009B674C">
            <w:pPr>
              <w:pStyle w:val="BodyText"/>
              <w:ind w:right="-18" w:hanging="108"/>
              <w:jc w:val="center"/>
              <w:rPr>
                <w:b/>
                <w:color w:val="auto"/>
                <w:sz w:val="20"/>
              </w:rPr>
            </w:pPr>
            <w:r w:rsidRPr="0091307E">
              <w:rPr>
                <w:b/>
                <w:color w:val="auto"/>
                <w:sz w:val="20"/>
              </w:rPr>
              <w:t xml:space="preserve"> </w:t>
            </w:r>
            <w:r>
              <w:rPr>
                <w:b/>
                <w:color w:val="auto"/>
                <w:sz w:val="20"/>
              </w:rPr>
              <w:t>24,006</w:t>
            </w:r>
          </w:p>
        </w:tc>
        <w:tc>
          <w:tcPr>
            <w:tcW w:w="1890" w:type="dxa"/>
            <w:tcBorders>
              <w:left w:val="single" w:sz="4" w:space="0" w:color="auto"/>
              <w:right w:val="single" w:sz="4" w:space="0" w:color="auto"/>
            </w:tcBorders>
            <w:shd w:val="clear" w:color="auto" w:fill="auto"/>
          </w:tcPr>
          <w:p w:rsidR="009303F4" w:rsidRPr="00363232" w:rsidRDefault="009303F4" w:rsidP="009303F4">
            <w:pPr>
              <w:pStyle w:val="BodyText"/>
              <w:ind w:right="-18" w:hanging="108"/>
              <w:jc w:val="center"/>
              <w:rPr>
                <w:color w:val="auto"/>
                <w:sz w:val="20"/>
              </w:rPr>
            </w:pPr>
            <w:r w:rsidRPr="00363232">
              <w:rPr>
                <w:color w:val="auto"/>
                <w:sz w:val="20"/>
              </w:rPr>
              <w:t xml:space="preserve">    </w:t>
            </w:r>
            <w:r>
              <w:rPr>
                <w:color w:val="auto"/>
                <w:sz w:val="20"/>
              </w:rPr>
              <w:t xml:space="preserve"> </w:t>
            </w:r>
            <w:r w:rsidRPr="00363232">
              <w:rPr>
                <w:color w:val="auto"/>
                <w:sz w:val="20"/>
              </w:rPr>
              <w:t xml:space="preserve">  </w:t>
            </w:r>
            <w:r>
              <w:rPr>
                <w:color w:val="auto"/>
                <w:sz w:val="20"/>
              </w:rPr>
              <w:t>20,167</w:t>
            </w:r>
          </w:p>
        </w:tc>
        <w:tc>
          <w:tcPr>
            <w:tcW w:w="1170" w:type="dxa"/>
            <w:tcBorders>
              <w:left w:val="single" w:sz="4" w:space="0" w:color="auto"/>
              <w:right w:val="single" w:sz="4" w:space="0" w:color="auto"/>
            </w:tcBorders>
            <w:shd w:val="clear" w:color="auto" w:fill="auto"/>
          </w:tcPr>
          <w:p w:rsidR="009303F4" w:rsidRPr="00FB4276" w:rsidRDefault="009303F4" w:rsidP="009B674C">
            <w:pPr>
              <w:pStyle w:val="BodyText"/>
              <w:ind w:right="-18" w:hanging="108"/>
              <w:jc w:val="center"/>
              <w:rPr>
                <w:b/>
                <w:color w:val="auto"/>
                <w:sz w:val="20"/>
              </w:rPr>
            </w:pPr>
            <w:r w:rsidRPr="00FB4276">
              <w:rPr>
                <w:b/>
                <w:color w:val="auto"/>
                <w:sz w:val="20"/>
              </w:rPr>
              <w:t xml:space="preserve">  </w:t>
            </w:r>
            <w:r>
              <w:rPr>
                <w:b/>
                <w:color w:val="auto"/>
                <w:sz w:val="20"/>
              </w:rPr>
              <w:t>46</w:t>
            </w:r>
            <w:r w:rsidRPr="00FB4276">
              <w:rPr>
                <w:b/>
                <w:color w:val="auto"/>
                <w:sz w:val="20"/>
              </w:rPr>
              <w:t>,</w:t>
            </w:r>
            <w:r>
              <w:rPr>
                <w:b/>
                <w:color w:val="auto"/>
                <w:sz w:val="20"/>
              </w:rPr>
              <w:t>570</w:t>
            </w:r>
          </w:p>
        </w:tc>
        <w:tc>
          <w:tcPr>
            <w:tcW w:w="1890" w:type="dxa"/>
            <w:tcBorders>
              <w:left w:val="single" w:sz="4" w:space="0" w:color="auto"/>
              <w:right w:val="single" w:sz="4" w:space="0" w:color="auto"/>
            </w:tcBorders>
            <w:shd w:val="clear" w:color="auto" w:fill="auto"/>
          </w:tcPr>
          <w:p w:rsidR="009303F4" w:rsidRPr="00363232" w:rsidRDefault="009303F4" w:rsidP="009303F4">
            <w:pPr>
              <w:pStyle w:val="BodyText"/>
              <w:ind w:right="-18" w:hanging="108"/>
              <w:jc w:val="center"/>
              <w:rPr>
                <w:color w:val="auto"/>
                <w:sz w:val="20"/>
              </w:rPr>
            </w:pPr>
            <w:r>
              <w:rPr>
                <w:color w:val="auto"/>
                <w:sz w:val="20"/>
              </w:rPr>
              <w:t xml:space="preserve">       41,266</w:t>
            </w:r>
          </w:p>
        </w:tc>
      </w:tr>
      <w:tr w:rsidR="009303F4" w:rsidRPr="00BC3B33" w:rsidTr="00655CCF">
        <w:tc>
          <w:tcPr>
            <w:tcW w:w="2970" w:type="dxa"/>
            <w:tcBorders>
              <w:right w:val="single" w:sz="4" w:space="0" w:color="auto"/>
            </w:tcBorders>
            <w:shd w:val="clear" w:color="auto" w:fill="auto"/>
          </w:tcPr>
          <w:p w:rsidR="009303F4" w:rsidRPr="00052600" w:rsidRDefault="009303F4" w:rsidP="009303F4">
            <w:pPr>
              <w:pStyle w:val="BodyText"/>
              <w:ind w:right="-108" w:firstLine="72"/>
              <w:rPr>
                <w:sz w:val="20"/>
              </w:rPr>
            </w:pPr>
            <w:r>
              <w:rPr>
                <w:sz w:val="20"/>
              </w:rPr>
              <w:t>Finance costs</w:t>
            </w:r>
          </w:p>
        </w:tc>
        <w:tc>
          <w:tcPr>
            <w:tcW w:w="1170" w:type="dxa"/>
            <w:tcBorders>
              <w:left w:val="single" w:sz="4" w:space="0" w:color="auto"/>
              <w:bottom w:val="single" w:sz="4" w:space="0" w:color="auto"/>
              <w:right w:val="single" w:sz="4" w:space="0" w:color="auto"/>
            </w:tcBorders>
            <w:shd w:val="clear" w:color="auto" w:fill="auto"/>
          </w:tcPr>
          <w:p w:rsidR="009303F4" w:rsidRPr="0091307E" w:rsidRDefault="009303F4" w:rsidP="009B674C">
            <w:pPr>
              <w:pStyle w:val="BodyText"/>
              <w:ind w:right="-18" w:hanging="108"/>
              <w:jc w:val="center"/>
              <w:rPr>
                <w:b/>
                <w:color w:val="auto"/>
                <w:sz w:val="20"/>
              </w:rPr>
            </w:pPr>
            <w:r w:rsidRPr="0091307E">
              <w:rPr>
                <w:b/>
                <w:color w:val="auto"/>
                <w:sz w:val="20"/>
              </w:rPr>
              <w:t xml:space="preserve">   (8,</w:t>
            </w:r>
            <w:r>
              <w:rPr>
                <w:b/>
                <w:color w:val="auto"/>
                <w:sz w:val="20"/>
              </w:rPr>
              <w:t>550</w:t>
            </w:r>
            <w:r w:rsidRPr="0091307E">
              <w:rPr>
                <w:b/>
                <w:color w:val="auto"/>
                <w:sz w:val="20"/>
              </w:rPr>
              <w:t>)</w:t>
            </w:r>
          </w:p>
        </w:tc>
        <w:tc>
          <w:tcPr>
            <w:tcW w:w="1890" w:type="dxa"/>
            <w:tcBorders>
              <w:left w:val="single" w:sz="4" w:space="0" w:color="auto"/>
              <w:bottom w:val="single" w:sz="4" w:space="0" w:color="auto"/>
              <w:right w:val="single" w:sz="4" w:space="0" w:color="auto"/>
            </w:tcBorders>
            <w:shd w:val="clear" w:color="auto" w:fill="auto"/>
          </w:tcPr>
          <w:p w:rsidR="009303F4" w:rsidRPr="00363232" w:rsidRDefault="009303F4" w:rsidP="009303F4">
            <w:pPr>
              <w:pStyle w:val="BodyText"/>
              <w:ind w:right="-18" w:hanging="108"/>
              <w:jc w:val="center"/>
              <w:rPr>
                <w:color w:val="auto"/>
                <w:sz w:val="20"/>
              </w:rPr>
            </w:pPr>
            <w:r>
              <w:rPr>
                <w:color w:val="auto"/>
                <w:sz w:val="20"/>
              </w:rPr>
              <w:t xml:space="preserve">  </w:t>
            </w:r>
            <w:r w:rsidRPr="00363232">
              <w:rPr>
                <w:color w:val="auto"/>
                <w:sz w:val="20"/>
              </w:rPr>
              <w:t xml:space="preserve">       </w:t>
            </w:r>
            <w:r>
              <w:rPr>
                <w:color w:val="auto"/>
                <w:sz w:val="20"/>
              </w:rPr>
              <w:t>(8,221</w:t>
            </w:r>
            <w:r w:rsidRPr="00363232">
              <w:rPr>
                <w:color w:val="auto"/>
                <w:sz w:val="20"/>
              </w:rPr>
              <w:t>)</w:t>
            </w:r>
          </w:p>
        </w:tc>
        <w:tc>
          <w:tcPr>
            <w:tcW w:w="1170" w:type="dxa"/>
            <w:tcBorders>
              <w:left w:val="single" w:sz="4" w:space="0" w:color="auto"/>
              <w:bottom w:val="single" w:sz="4" w:space="0" w:color="auto"/>
              <w:right w:val="single" w:sz="4" w:space="0" w:color="auto"/>
            </w:tcBorders>
            <w:shd w:val="clear" w:color="auto" w:fill="auto"/>
          </w:tcPr>
          <w:p w:rsidR="009303F4" w:rsidRPr="00FB4276" w:rsidRDefault="009303F4" w:rsidP="009B674C">
            <w:pPr>
              <w:pStyle w:val="BodyText"/>
              <w:ind w:right="-18" w:hanging="108"/>
              <w:jc w:val="center"/>
              <w:rPr>
                <w:b/>
                <w:color w:val="auto"/>
                <w:sz w:val="20"/>
              </w:rPr>
            </w:pPr>
            <w:r w:rsidRPr="00FB4276">
              <w:rPr>
                <w:b/>
                <w:color w:val="auto"/>
                <w:sz w:val="20"/>
              </w:rPr>
              <w:t xml:space="preserve">  (</w:t>
            </w:r>
            <w:r>
              <w:rPr>
                <w:b/>
                <w:color w:val="auto"/>
                <w:sz w:val="20"/>
              </w:rPr>
              <w:t>17</w:t>
            </w:r>
            <w:r w:rsidRPr="00FB4276">
              <w:rPr>
                <w:b/>
                <w:color w:val="auto"/>
                <w:sz w:val="20"/>
              </w:rPr>
              <w:t>,</w:t>
            </w:r>
            <w:r>
              <w:rPr>
                <w:b/>
                <w:color w:val="auto"/>
                <w:sz w:val="20"/>
              </w:rPr>
              <w:t>162</w:t>
            </w:r>
            <w:r w:rsidRPr="00FB4276">
              <w:rPr>
                <w:b/>
                <w:color w:val="auto"/>
                <w:sz w:val="20"/>
              </w:rPr>
              <w:t>)</w:t>
            </w:r>
          </w:p>
        </w:tc>
        <w:tc>
          <w:tcPr>
            <w:tcW w:w="1890" w:type="dxa"/>
            <w:tcBorders>
              <w:left w:val="single" w:sz="4" w:space="0" w:color="auto"/>
              <w:bottom w:val="single" w:sz="4" w:space="0" w:color="auto"/>
              <w:right w:val="single" w:sz="4" w:space="0" w:color="auto"/>
            </w:tcBorders>
            <w:shd w:val="clear" w:color="auto" w:fill="auto"/>
          </w:tcPr>
          <w:p w:rsidR="009303F4" w:rsidRPr="00363232" w:rsidRDefault="009303F4" w:rsidP="009303F4">
            <w:pPr>
              <w:pStyle w:val="BodyText"/>
              <w:ind w:right="-18" w:hanging="108"/>
              <w:jc w:val="center"/>
              <w:rPr>
                <w:color w:val="auto"/>
                <w:sz w:val="20"/>
              </w:rPr>
            </w:pPr>
            <w:r>
              <w:rPr>
                <w:color w:val="auto"/>
                <w:sz w:val="20"/>
              </w:rPr>
              <w:t xml:space="preserve">       (16,201)</w:t>
            </w:r>
          </w:p>
        </w:tc>
      </w:tr>
      <w:tr w:rsidR="009303F4" w:rsidRPr="00BC3B33" w:rsidTr="00655CCF">
        <w:tc>
          <w:tcPr>
            <w:tcW w:w="2970" w:type="dxa"/>
            <w:tcBorders>
              <w:right w:val="single" w:sz="4" w:space="0" w:color="auto"/>
            </w:tcBorders>
            <w:shd w:val="clear" w:color="auto" w:fill="auto"/>
          </w:tcPr>
          <w:p w:rsidR="009303F4" w:rsidRPr="00052600" w:rsidRDefault="009303F4" w:rsidP="009303F4">
            <w:pPr>
              <w:pStyle w:val="BodyText"/>
              <w:ind w:right="-108" w:firstLine="72"/>
              <w:jc w:val="left"/>
              <w:rPr>
                <w:sz w:val="20"/>
              </w:rPr>
            </w:pPr>
          </w:p>
        </w:tc>
        <w:tc>
          <w:tcPr>
            <w:tcW w:w="1170" w:type="dxa"/>
            <w:tcBorders>
              <w:top w:val="single" w:sz="4" w:space="0" w:color="auto"/>
              <w:left w:val="single" w:sz="4" w:space="0" w:color="auto"/>
              <w:right w:val="single" w:sz="4" w:space="0" w:color="auto"/>
            </w:tcBorders>
            <w:shd w:val="clear" w:color="auto" w:fill="auto"/>
          </w:tcPr>
          <w:p w:rsidR="009303F4" w:rsidRPr="0091307E" w:rsidRDefault="009303F4" w:rsidP="009B674C">
            <w:pPr>
              <w:pStyle w:val="BodyText"/>
              <w:ind w:right="-18" w:hanging="108"/>
              <w:jc w:val="center"/>
              <w:rPr>
                <w:b/>
                <w:color w:val="auto"/>
                <w:sz w:val="20"/>
              </w:rPr>
            </w:pPr>
            <w:r w:rsidRPr="0091307E">
              <w:rPr>
                <w:b/>
                <w:color w:val="auto"/>
                <w:sz w:val="20"/>
              </w:rPr>
              <w:t xml:space="preserve"> </w:t>
            </w:r>
            <w:r>
              <w:rPr>
                <w:b/>
                <w:color w:val="auto"/>
                <w:sz w:val="20"/>
              </w:rPr>
              <w:t>15,456</w:t>
            </w:r>
          </w:p>
        </w:tc>
        <w:tc>
          <w:tcPr>
            <w:tcW w:w="1890" w:type="dxa"/>
            <w:tcBorders>
              <w:top w:val="single" w:sz="4" w:space="0" w:color="auto"/>
              <w:left w:val="single" w:sz="4" w:space="0" w:color="auto"/>
              <w:right w:val="single" w:sz="4" w:space="0" w:color="auto"/>
            </w:tcBorders>
            <w:shd w:val="clear" w:color="auto" w:fill="auto"/>
          </w:tcPr>
          <w:p w:rsidR="009303F4" w:rsidRPr="00363232" w:rsidRDefault="009303F4" w:rsidP="009303F4">
            <w:pPr>
              <w:pStyle w:val="BodyText"/>
              <w:ind w:right="-18" w:hanging="108"/>
              <w:jc w:val="center"/>
              <w:rPr>
                <w:color w:val="auto"/>
                <w:sz w:val="20"/>
              </w:rPr>
            </w:pPr>
            <w:r>
              <w:rPr>
                <w:color w:val="auto"/>
                <w:sz w:val="20"/>
              </w:rPr>
              <w:t xml:space="preserve"> </w:t>
            </w:r>
            <w:r w:rsidRPr="00363232">
              <w:rPr>
                <w:color w:val="auto"/>
                <w:sz w:val="20"/>
              </w:rPr>
              <w:t xml:space="preserve">     </w:t>
            </w:r>
            <w:r>
              <w:rPr>
                <w:color w:val="auto"/>
                <w:sz w:val="20"/>
              </w:rPr>
              <w:t>11,946</w:t>
            </w:r>
          </w:p>
        </w:tc>
        <w:tc>
          <w:tcPr>
            <w:tcW w:w="1170" w:type="dxa"/>
            <w:tcBorders>
              <w:top w:val="single" w:sz="4" w:space="0" w:color="auto"/>
              <w:left w:val="single" w:sz="4" w:space="0" w:color="auto"/>
              <w:right w:val="single" w:sz="4" w:space="0" w:color="auto"/>
            </w:tcBorders>
            <w:shd w:val="clear" w:color="auto" w:fill="auto"/>
          </w:tcPr>
          <w:p w:rsidR="009303F4" w:rsidRPr="00FB4276" w:rsidRDefault="009303F4" w:rsidP="009B674C">
            <w:pPr>
              <w:pStyle w:val="BodyText"/>
              <w:ind w:right="-18" w:hanging="108"/>
              <w:jc w:val="center"/>
              <w:rPr>
                <w:b/>
                <w:color w:val="auto"/>
                <w:sz w:val="20"/>
              </w:rPr>
            </w:pPr>
            <w:r>
              <w:rPr>
                <w:b/>
                <w:color w:val="auto"/>
                <w:sz w:val="20"/>
              </w:rPr>
              <w:t xml:space="preserve">  29,408</w:t>
            </w:r>
          </w:p>
        </w:tc>
        <w:tc>
          <w:tcPr>
            <w:tcW w:w="1890" w:type="dxa"/>
            <w:tcBorders>
              <w:top w:val="single" w:sz="4" w:space="0" w:color="auto"/>
              <w:left w:val="single" w:sz="4" w:space="0" w:color="auto"/>
              <w:right w:val="single" w:sz="4" w:space="0" w:color="auto"/>
            </w:tcBorders>
            <w:shd w:val="clear" w:color="auto" w:fill="auto"/>
          </w:tcPr>
          <w:p w:rsidR="009303F4" w:rsidRPr="00363232" w:rsidRDefault="009303F4" w:rsidP="009303F4">
            <w:pPr>
              <w:pStyle w:val="BodyText"/>
              <w:ind w:right="-18" w:hanging="108"/>
              <w:jc w:val="center"/>
              <w:rPr>
                <w:color w:val="auto"/>
                <w:sz w:val="20"/>
              </w:rPr>
            </w:pPr>
            <w:r>
              <w:rPr>
                <w:color w:val="auto"/>
                <w:sz w:val="20"/>
              </w:rPr>
              <w:t xml:space="preserve">       25,065</w:t>
            </w:r>
          </w:p>
        </w:tc>
      </w:tr>
      <w:tr w:rsidR="009303F4" w:rsidRPr="00BC3B33" w:rsidTr="00655CCF">
        <w:tc>
          <w:tcPr>
            <w:tcW w:w="2970" w:type="dxa"/>
            <w:tcBorders>
              <w:right w:val="single" w:sz="4" w:space="0" w:color="auto"/>
            </w:tcBorders>
            <w:shd w:val="clear" w:color="auto" w:fill="auto"/>
          </w:tcPr>
          <w:p w:rsidR="009303F4" w:rsidRDefault="009303F4" w:rsidP="009303F4">
            <w:pPr>
              <w:pStyle w:val="BodyText"/>
              <w:ind w:right="-108" w:firstLine="72"/>
              <w:jc w:val="left"/>
              <w:rPr>
                <w:sz w:val="20"/>
              </w:rPr>
            </w:pPr>
            <w:r>
              <w:rPr>
                <w:sz w:val="20"/>
              </w:rPr>
              <w:t xml:space="preserve">Share of </w:t>
            </w:r>
            <w:r w:rsidR="001E35B4">
              <w:rPr>
                <w:sz w:val="20"/>
              </w:rPr>
              <w:t xml:space="preserve">result of </w:t>
            </w:r>
            <w:r>
              <w:rPr>
                <w:sz w:val="20"/>
              </w:rPr>
              <w:t>associate</w:t>
            </w:r>
          </w:p>
        </w:tc>
        <w:tc>
          <w:tcPr>
            <w:tcW w:w="1170" w:type="dxa"/>
            <w:tcBorders>
              <w:left w:val="single" w:sz="4" w:space="0" w:color="auto"/>
              <w:bottom w:val="single" w:sz="4" w:space="0" w:color="auto"/>
              <w:right w:val="single" w:sz="4" w:space="0" w:color="auto"/>
            </w:tcBorders>
            <w:shd w:val="clear" w:color="auto" w:fill="auto"/>
          </w:tcPr>
          <w:p w:rsidR="009303F4" w:rsidRPr="0091307E" w:rsidRDefault="009303F4" w:rsidP="009B674C">
            <w:pPr>
              <w:pStyle w:val="BodyText"/>
              <w:ind w:right="-18" w:hanging="108"/>
              <w:jc w:val="center"/>
              <w:rPr>
                <w:b/>
                <w:color w:val="auto"/>
                <w:sz w:val="20"/>
              </w:rPr>
            </w:pPr>
            <w:r>
              <w:rPr>
                <w:b/>
                <w:color w:val="auto"/>
                <w:sz w:val="20"/>
              </w:rPr>
              <w:t xml:space="preserve">      777</w:t>
            </w:r>
          </w:p>
        </w:tc>
        <w:tc>
          <w:tcPr>
            <w:tcW w:w="1890" w:type="dxa"/>
            <w:tcBorders>
              <w:left w:val="single" w:sz="4" w:space="0" w:color="auto"/>
              <w:bottom w:val="single" w:sz="4" w:space="0" w:color="auto"/>
              <w:right w:val="single" w:sz="4" w:space="0" w:color="auto"/>
            </w:tcBorders>
            <w:shd w:val="clear" w:color="auto" w:fill="auto"/>
          </w:tcPr>
          <w:p w:rsidR="009303F4" w:rsidRPr="00363232" w:rsidRDefault="009303F4" w:rsidP="009303F4">
            <w:pPr>
              <w:pStyle w:val="BodyText"/>
              <w:ind w:right="-18" w:hanging="108"/>
              <w:jc w:val="center"/>
              <w:rPr>
                <w:color w:val="auto"/>
                <w:sz w:val="20"/>
              </w:rPr>
            </w:pPr>
            <w:r>
              <w:rPr>
                <w:color w:val="auto"/>
                <w:sz w:val="20"/>
              </w:rPr>
              <w:t xml:space="preserve">           746</w:t>
            </w:r>
          </w:p>
        </w:tc>
        <w:tc>
          <w:tcPr>
            <w:tcW w:w="1170" w:type="dxa"/>
            <w:tcBorders>
              <w:left w:val="single" w:sz="4" w:space="0" w:color="auto"/>
              <w:bottom w:val="single" w:sz="4" w:space="0" w:color="auto"/>
              <w:right w:val="single" w:sz="4" w:space="0" w:color="auto"/>
            </w:tcBorders>
            <w:shd w:val="clear" w:color="auto" w:fill="auto"/>
          </w:tcPr>
          <w:p w:rsidR="009303F4" w:rsidRPr="00FB4276" w:rsidRDefault="009303F4" w:rsidP="009B674C">
            <w:pPr>
              <w:pStyle w:val="BodyText"/>
              <w:ind w:right="-18" w:hanging="108"/>
              <w:jc w:val="center"/>
              <w:rPr>
                <w:b/>
                <w:color w:val="auto"/>
                <w:sz w:val="20"/>
              </w:rPr>
            </w:pPr>
            <w:r>
              <w:rPr>
                <w:b/>
                <w:color w:val="auto"/>
                <w:sz w:val="20"/>
              </w:rPr>
              <w:t xml:space="preserve">    1,840</w:t>
            </w:r>
          </w:p>
        </w:tc>
        <w:tc>
          <w:tcPr>
            <w:tcW w:w="1890" w:type="dxa"/>
            <w:tcBorders>
              <w:left w:val="single" w:sz="4" w:space="0" w:color="auto"/>
              <w:bottom w:val="single" w:sz="4" w:space="0" w:color="auto"/>
              <w:right w:val="single" w:sz="4" w:space="0" w:color="auto"/>
            </w:tcBorders>
            <w:shd w:val="clear" w:color="auto" w:fill="auto"/>
          </w:tcPr>
          <w:p w:rsidR="009303F4" w:rsidRDefault="009303F4" w:rsidP="009303F4">
            <w:pPr>
              <w:pStyle w:val="BodyText"/>
              <w:ind w:right="-18" w:hanging="108"/>
              <w:jc w:val="center"/>
              <w:rPr>
                <w:color w:val="auto"/>
                <w:sz w:val="20"/>
              </w:rPr>
            </w:pPr>
            <w:r>
              <w:rPr>
                <w:color w:val="auto"/>
                <w:sz w:val="20"/>
              </w:rPr>
              <w:t xml:space="preserve">         1,319</w:t>
            </w:r>
          </w:p>
        </w:tc>
      </w:tr>
      <w:tr w:rsidR="004F1388" w:rsidRPr="00BC3B33" w:rsidTr="00655CCF">
        <w:tc>
          <w:tcPr>
            <w:tcW w:w="2970" w:type="dxa"/>
            <w:tcBorders>
              <w:right w:val="single" w:sz="4" w:space="0" w:color="auto"/>
            </w:tcBorders>
            <w:shd w:val="clear" w:color="auto" w:fill="auto"/>
          </w:tcPr>
          <w:p w:rsidR="004F1388" w:rsidRDefault="004F1388" w:rsidP="009303F4">
            <w:pPr>
              <w:pStyle w:val="BodyText"/>
              <w:ind w:right="-108" w:firstLine="72"/>
              <w:rPr>
                <w:sz w:val="20"/>
              </w:rPr>
            </w:pPr>
            <w:r>
              <w:rPr>
                <w:sz w:val="20"/>
              </w:rPr>
              <w:t>Profit before tax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F1388" w:rsidRPr="0091307E" w:rsidRDefault="004F1388" w:rsidP="009B674C">
            <w:pPr>
              <w:pStyle w:val="BodyText"/>
              <w:ind w:right="-18" w:hanging="108"/>
              <w:jc w:val="center"/>
              <w:rPr>
                <w:b/>
                <w:color w:val="auto"/>
                <w:sz w:val="20"/>
              </w:rPr>
            </w:pPr>
            <w:r>
              <w:rPr>
                <w:b/>
                <w:color w:val="auto"/>
                <w:sz w:val="20"/>
              </w:rPr>
              <w:t xml:space="preserve">  16,233</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1388" w:rsidRPr="00363232" w:rsidRDefault="004F1388" w:rsidP="00FE737B">
            <w:pPr>
              <w:pStyle w:val="BodyText"/>
              <w:ind w:right="-18" w:hanging="108"/>
              <w:jc w:val="center"/>
              <w:rPr>
                <w:color w:val="auto"/>
                <w:sz w:val="20"/>
              </w:rPr>
            </w:pPr>
            <w:r>
              <w:rPr>
                <w:color w:val="auto"/>
                <w:sz w:val="20"/>
              </w:rPr>
              <w:t xml:space="preserve">      12,692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F1388" w:rsidRPr="00FB4276" w:rsidRDefault="004F1388" w:rsidP="009B674C">
            <w:pPr>
              <w:pStyle w:val="BodyText"/>
              <w:ind w:right="-18" w:hanging="108"/>
              <w:jc w:val="center"/>
              <w:rPr>
                <w:b/>
                <w:color w:val="auto"/>
                <w:sz w:val="20"/>
              </w:rPr>
            </w:pPr>
            <w:r>
              <w:rPr>
                <w:b/>
                <w:color w:val="auto"/>
                <w:sz w:val="20"/>
              </w:rPr>
              <w:t xml:space="preserve">  31,248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F1388" w:rsidRDefault="004F1388" w:rsidP="00FE737B">
            <w:pPr>
              <w:pStyle w:val="BodyText"/>
              <w:ind w:right="-18" w:hanging="108"/>
              <w:jc w:val="center"/>
              <w:rPr>
                <w:color w:val="auto"/>
                <w:sz w:val="20"/>
              </w:rPr>
            </w:pPr>
            <w:r>
              <w:rPr>
                <w:color w:val="auto"/>
                <w:sz w:val="20"/>
              </w:rPr>
              <w:t xml:space="preserve">       26,384</w:t>
            </w:r>
          </w:p>
        </w:tc>
      </w:tr>
      <w:tr w:rsidR="004F1388" w:rsidRPr="00BC3B33" w:rsidTr="00655CCF">
        <w:tc>
          <w:tcPr>
            <w:tcW w:w="2970" w:type="dxa"/>
            <w:tcBorders>
              <w:right w:val="single" w:sz="4" w:space="0" w:color="auto"/>
            </w:tcBorders>
            <w:shd w:val="clear" w:color="auto" w:fill="auto"/>
          </w:tcPr>
          <w:p w:rsidR="004F1388" w:rsidRPr="009303F4" w:rsidRDefault="004F1388" w:rsidP="009303F4">
            <w:pPr>
              <w:pStyle w:val="BodyText"/>
              <w:ind w:right="-108" w:firstLine="72"/>
              <w:rPr>
                <w:b/>
                <w:sz w:val="20"/>
              </w:rPr>
            </w:pPr>
            <w:r w:rsidRPr="009303F4">
              <w:rPr>
                <w:b/>
                <w:sz w:val="20"/>
              </w:rPr>
              <w:t xml:space="preserve">Total </w:t>
            </w:r>
            <w:r w:rsidR="001E35B4">
              <w:rPr>
                <w:b/>
                <w:sz w:val="20"/>
              </w:rPr>
              <w:t>profit before tax</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4F1388" w:rsidRPr="0091307E" w:rsidRDefault="004F1388" w:rsidP="004F1388">
            <w:pPr>
              <w:pStyle w:val="BodyText"/>
              <w:ind w:right="-108" w:hanging="108"/>
              <w:jc w:val="center"/>
              <w:rPr>
                <w:b/>
                <w:sz w:val="20"/>
              </w:rPr>
            </w:pPr>
            <w:r w:rsidRPr="0091307E">
              <w:rPr>
                <w:b/>
                <w:sz w:val="20"/>
              </w:rPr>
              <w:t>20,3</w:t>
            </w:r>
            <w:r>
              <w:rPr>
                <w:b/>
                <w:sz w:val="20"/>
              </w:rPr>
              <w:t>49</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4F1388" w:rsidRPr="00363232" w:rsidRDefault="004F1388" w:rsidP="009303F4">
            <w:pPr>
              <w:pStyle w:val="BodyText"/>
              <w:ind w:right="-108" w:hanging="108"/>
              <w:jc w:val="center"/>
              <w:rPr>
                <w:sz w:val="20"/>
              </w:rPr>
            </w:pPr>
            <w:r>
              <w:rPr>
                <w:sz w:val="20"/>
              </w:rPr>
              <w:t xml:space="preserve">   114,361</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4F1388" w:rsidRPr="00FB4276" w:rsidRDefault="004F1388" w:rsidP="009B674C">
            <w:pPr>
              <w:pStyle w:val="BodyText"/>
              <w:ind w:right="-108" w:hanging="108"/>
              <w:jc w:val="center"/>
              <w:rPr>
                <w:b/>
                <w:sz w:val="20"/>
              </w:rPr>
            </w:pPr>
            <w:r w:rsidRPr="00FB4276">
              <w:rPr>
                <w:b/>
                <w:sz w:val="20"/>
              </w:rPr>
              <w:t>12,004</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4F1388" w:rsidRPr="00363232" w:rsidRDefault="004F1388" w:rsidP="009303F4">
            <w:pPr>
              <w:pStyle w:val="BodyText"/>
              <w:ind w:right="-108" w:hanging="108"/>
              <w:jc w:val="center"/>
              <w:rPr>
                <w:sz w:val="20"/>
              </w:rPr>
            </w:pPr>
            <w:r>
              <w:rPr>
                <w:sz w:val="20"/>
              </w:rPr>
              <w:t xml:space="preserve">    133,487</w:t>
            </w:r>
          </w:p>
        </w:tc>
      </w:tr>
    </w:tbl>
    <w:p w:rsidR="00F26B3E" w:rsidRDefault="00FA5342" w:rsidP="00655CCF">
      <w:pPr>
        <w:pStyle w:val="BodyText"/>
        <w:ind w:right="-450" w:hanging="720"/>
        <w:rPr>
          <w:sz w:val="20"/>
        </w:rPr>
      </w:pPr>
      <w:r>
        <w:rPr>
          <w:sz w:val="20"/>
        </w:rPr>
        <w:tab/>
      </w:r>
    </w:p>
    <w:p w:rsidR="00655CCF" w:rsidRDefault="00655CCF" w:rsidP="00655CCF">
      <w:pPr>
        <w:pStyle w:val="BodyText"/>
        <w:ind w:right="-450" w:hanging="720"/>
        <w:rPr>
          <w:sz w:val="20"/>
        </w:rPr>
      </w:pPr>
    </w:p>
    <w:p w:rsidR="00AA175E" w:rsidRDefault="00E1607C" w:rsidP="001E35B4">
      <w:pPr>
        <w:pStyle w:val="BodyText"/>
        <w:ind w:left="990" w:right="-450" w:hanging="270"/>
        <w:rPr>
          <w:sz w:val="20"/>
        </w:rPr>
      </w:pPr>
      <w:proofErr w:type="gramStart"/>
      <w:r>
        <w:rPr>
          <w:sz w:val="20"/>
        </w:rPr>
        <w:t>*</w:t>
      </w:r>
      <w:r w:rsidR="00655CCF">
        <w:rPr>
          <w:sz w:val="20"/>
        </w:rPr>
        <w:t xml:space="preserve">  </w:t>
      </w:r>
      <w:r w:rsidR="001E35B4">
        <w:rPr>
          <w:sz w:val="20"/>
        </w:rPr>
        <w:t>Others</w:t>
      </w:r>
      <w:proofErr w:type="gramEnd"/>
      <w:r w:rsidR="001E35B4">
        <w:rPr>
          <w:sz w:val="20"/>
        </w:rPr>
        <w:t xml:space="preserve"> in</w:t>
      </w:r>
      <w:r w:rsidR="00AA175E" w:rsidRPr="00BB59E8">
        <w:rPr>
          <w:sz w:val="20"/>
        </w:rPr>
        <w:t>clude provision of support services for information systems and office equipment, printing of packaging</w:t>
      </w:r>
      <w:r w:rsidR="00655CCF">
        <w:rPr>
          <w:sz w:val="20"/>
        </w:rPr>
        <w:t xml:space="preserve">  </w:t>
      </w:r>
      <w:r w:rsidR="00AA175E" w:rsidRPr="00BB59E8">
        <w:rPr>
          <w:sz w:val="20"/>
        </w:rPr>
        <w:t>boxes, manufacturing and distribution of tinned food, provision of financial services and investment holding, none of which are of a significant size to be reported separately.</w:t>
      </w:r>
    </w:p>
    <w:p w:rsidR="001E35B4" w:rsidRDefault="001E35B4" w:rsidP="00655CCF">
      <w:pPr>
        <w:pStyle w:val="BodyText"/>
        <w:ind w:left="1080" w:right="-450" w:hanging="360"/>
        <w:rPr>
          <w:sz w:val="20"/>
        </w:rPr>
      </w:pPr>
    </w:p>
    <w:p w:rsidR="001E35B4" w:rsidRDefault="001E35B4" w:rsidP="001E35B4">
      <w:pPr>
        <w:pStyle w:val="BodyText"/>
        <w:ind w:left="720" w:right="-450"/>
        <w:rPr>
          <w:sz w:val="20"/>
        </w:rPr>
      </w:pPr>
      <w:r w:rsidRPr="00AA175E">
        <w:rPr>
          <w:b/>
          <w:sz w:val="20"/>
        </w:rPr>
        <w:t>*</w:t>
      </w:r>
      <w:proofErr w:type="gramStart"/>
      <w:r>
        <w:rPr>
          <w:b/>
          <w:sz w:val="20"/>
        </w:rPr>
        <w:t>*</w:t>
      </w:r>
      <w:r>
        <w:rPr>
          <w:sz w:val="20"/>
        </w:rPr>
        <w:t xml:space="preserve">  Includes</w:t>
      </w:r>
      <w:proofErr w:type="gramEnd"/>
      <w:r>
        <w:rPr>
          <w:sz w:val="20"/>
        </w:rPr>
        <w:t xml:space="preserve"> unusual item as in Note A5.</w:t>
      </w:r>
    </w:p>
    <w:p w:rsidR="00655CCF" w:rsidRDefault="00655CCF" w:rsidP="00655CCF">
      <w:pPr>
        <w:pStyle w:val="BodyText"/>
        <w:ind w:left="990" w:right="-450" w:hanging="270"/>
        <w:rPr>
          <w:sz w:val="20"/>
        </w:rPr>
      </w:pPr>
    </w:p>
    <w:p w:rsidR="00655CCF" w:rsidRDefault="00655CCF" w:rsidP="00655CCF">
      <w:pPr>
        <w:pStyle w:val="BodyText"/>
        <w:ind w:left="990" w:right="-450" w:hanging="270"/>
        <w:rPr>
          <w:sz w:val="20"/>
        </w:rPr>
      </w:pPr>
      <w:r>
        <w:rPr>
          <w:sz w:val="20"/>
        </w:rPr>
        <w:t>***Includes finance costs, profit from inter</w:t>
      </w:r>
      <w:r w:rsidR="00FE737B">
        <w:rPr>
          <w:sz w:val="20"/>
        </w:rPr>
        <w:t>-</w:t>
      </w:r>
      <w:r>
        <w:rPr>
          <w:sz w:val="20"/>
        </w:rPr>
        <w:t>segment sales and share of results of associates.</w:t>
      </w:r>
    </w:p>
    <w:p w:rsidR="00655CCF" w:rsidRDefault="00655CCF" w:rsidP="00655CCF">
      <w:pPr>
        <w:pStyle w:val="BodyText"/>
        <w:ind w:left="990" w:right="-450" w:hanging="270"/>
        <w:rPr>
          <w:sz w:val="20"/>
        </w:rPr>
      </w:pPr>
    </w:p>
    <w:p w:rsidR="00655CCF" w:rsidRDefault="00655CCF" w:rsidP="00655CCF">
      <w:pPr>
        <w:pStyle w:val="BodyText"/>
        <w:ind w:left="990" w:right="-450" w:hanging="270"/>
        <w:rPr>
          <w:sz w:val="20"/>
        </w:rPr>
      </w:pPr>
    </w:p>
    <w:p w:rsidR="000F25C0" w:rsidRDefault="00B6080A" w:rsidP="00FA5342">
      <w:pPr>
        <w:pStyle w:val="BodyText"/>
        <w:ind w:right="-450" w:hanging="720"/>
        <w:rPr>
          <w:b/>
          <w:sz w:val="20"/>
        </w:rPr>
      </w:pPr>
      <w:r>
        <w:rPr>
          <w:sz w:val="20"/>
        </w:rPr>
        <w:tab/>
      </w:r>
      <w:r w:rsidR="0059386B" w:rsidRPr="00764F09">
        <w:rPr>
          <w:b/>
          <w:sz w:val="20"/>
        </w:rPr>
        <w:t>A</w:t>
      </w:r>
      <w:r w:rsidR="008D52B1" w:rsidRPr="00764F09">
        <w:rPr>
          <w:b/>
          <w:sz w:val="20"/>
        </w:rPr>
        <w:t>1</w:t>
      </w:r>
      <w:r w:rsidR="00EE0622">
        <w:rPr>
          <w:b/>
          <w:sz w:val="20"/>
        </w:rPr>
        <w:t>2</w:t>
      </w:r>
      <w:r w:rsidR="0059386B">
        <w:rPr>
          <w:sz w:val="20"/>
        </w:rPr>
        <w:tab/>
      </w:r>
      <w:r w:rsidR="0078209D">
        <w:rPr>
          <w:b/>
          <w:sz w:val="20"/>
        </w:rPr>
        <w:t>Subsequent event</w:t>
      </w:r>
      <w:r w:rsidR="008D0F2E">
        <w:rPr>
          <w:b/>
          <w:sz w:val="20"/>
        </w:rPr>
        <w:t>s</w:t>
      </w:r>
    </w:p>
    <w:p w:rsidR="00AE3FBF" w:rsidRDefault="00AE3FBF" w:rsidP="00FA5342">
      <w:pPr>
        <w:pStyle w:val="BodyText"/>
        <w:ind w:right="-450" w:hanging="720"/>
        <w:rPr>
          <w:b/>
          <w:sz w:val="20"/>
        </w:rPr>
      </w:pPr>
    </w:p>
    <w:p w:rsidR="00AE3FBF" w:rsidRPr="00BA79D3" w:rsidRDefault="00AE3FBF" w:rsidP="00AE3FBF">
      <w:pPr>
        <w:pStyle w:val="ListParagraph"/>
        <w:numPr>
          <w:ilvl w:val="0"/>
          <w:numId w:val="16"/>
        </w:numPr>
        <w:jc w:val="both"/>
        <w:rPr>
          <w:snapToGrid w:val="0"/>
          <w:color w:val="000000"/>
          <w:lang w:val="en-GB"/>
        </w:rPr>
      </w:pPr>
      <w:r>
        <w:t xml:space="preserve">On 9 July 2012, </w:t>
      </w:r>
      <w:proofErr w:type="spellStart"/>
      <w:r>
        <w:t>Onglory</w:t>
      </w:r>
      <w:proofErr w:type="spellEnd"/>
      <w:r>
        <w:t xml:space="preserve"> Holdings </w:t>
      </w:r>
      <w:r w:rsidR="00FE737B">
        <w:t>Limited, a wholly owned subsidiary</w:t>
      </w:r>
      <w:r>
        <w:t xml:space="preserve"> gave notice for the redemption in cash</w:t>
      </w:r>
      <w:r w:rsidR="00FE737B">
        <w:t xml:space="preserve"> of</w:t>
      </w:r>
      <w:r>
        <w:t xml:space="preserve"> the entire outstanding Class B Redeemable Convertible Secured Loan Stock (“RCSLS-B”) issued pursuant to the Scheme of Arrangement of </w:t>
      </w:r>
      <w:proofErr w:type="spellStart"/>
      <w:r>
        <w:t>MBfH</w:t>
      </w:r>
      <w:proofErr w:type="spellEnd"/>
      <w:r>
        <w:t xml:space="preserve"> in June 2003.  The outstanding RCSLS-B currently stands at USD5</w:t>
      </w:r>
      <w:proofErr w:type="gramStart"/>
      <w:r>
        <w:t>,665,323.28</w:t>
      </w:r>
      <w:proofErr w:type="gramEnd"/>
      <w:r>
        <w:t xml:space="preserve"> and all remaining outstanding RCSLS-B will be redeemed on 10 September 2012.</w:t>
      </w:r>
    </w:p>
    <w:p w:rsidR="00294687" w:rsidRPr="00AE3FBF" w:rsidRDefault="00294687" w:rsidP="00A561BA">
      <w:pPr>
        <w:pStyle w:val="BodyText"/>
        <w:ind w:left="720" w:right="-450" w:hanging="1800"/>
        <w:rPr>
          <w:color w:val="auto"/>
          <w:sz w:val="20"/>
          <w:lang w:val="en-GB"/>
        </w:rPr>
      </w:pPr>
    </w:p>
    <w:p w:rsidR="00B03288" w:rsidRDefault="00B03288" w:rsidP="00AE3FBF">
      <w:pPr>
        <w:pStyle w:val="ListParagraph"/>
        <w:numPr>
          <w:ilvl w:val="0"/>
          <w:numId w:val="16"/>
        </w:numPr>
        <w:jc w:val="both"/>
        <w:rPr>
          <w:b/>
          <w:bCs/>
          <w:lang w:val="en-GB"/>
        </w:rPr>
      </w:pPr>
      <w:r w:rsidRPr="008D0F2E">
        <w:rPr>
          <w:lang w:val="en-GB"/>
        </w:rPr>
        <w:t>On 10 July 2012</w:t>
      </w:r>
      <w:r w:rsidR="005A7AE7">
        <w:rPr>
          <w:lang w:val="en-GB"/>
        </w:rPr>
        <w:t xml:space="preserve"> </w:t>
      </w:r>
      <w:r w:rsidRPr="008D0F2E">
        <w:rPr>
          <w:lang w:val="en-GB"/>
        </w:rPr>
        <w:t>the Company together with its wholly owned subsidiaries</w:t>
      </w:r>
      <w:r w:rsidR="005A7AE7">
        <w:rPr>
          <w:lang w:val="en-GB"/>
        </w:rPr>
        <w:t>,</w:t>
      </w:r>
      <w:r w:rsidRPr="008D0F2E">
        <w:rPr>
          <w:lang w:val="en-GB"/>
        </w:rPr>
        <w:t xml:space="preserve"> </w:t>
      </w:r>
      <w:proofErr w:type="spellStart"/>
      <w:r w:rsidRPr="008D0F2E">
        <w:rPr>
          <w:lang w:val="en-GB"/>
        </w:rPr>
        <w:t>Atox</w:t>
      </w:r>
      <w:proofErr w:type="spellEnd"/>
      <w:r w:rsidRPr="008D0F2E">
        <w:rPr>
          <w:lang w:val="en-GB"/>
        </w:rPr>
        <w:t xml:space="preserve"> Cards </w:t>
      </w:r>
      <w:proofErr w:type="spellStart"/>
      <w:r w:rsidRPr="008D0F2E">
        <w:rPr>
          <w:lang w:val="en-GB"/>
        </w:rPr>
        <w:t>Sdn</w:t>
      </w:r>
      <w:proofErr w:type="spellEnd"/>
      <w:r w:rsidRPr="008D0F2E">
        <w:rPr>
          <w:lang w:val="en-GB"/>
        </w:rPr>
        <w:t xml:space="preserve"> </w:t>
      </w:r>
      <w:proofErr w:type="spellStart"/>
      <w:r w:rsidRPr="008D0F2E">
        <w:rPr>
          <w:lang w:val="en-GB"/>
        </w:rPr>
        <w:t>Bhd</w:t>
      </w:r>
      <w:proofErr w:type="spellEnd"/>
      <w:r w:rsidRPr="008D0F2E">
        <w:rPr>
          <w:lang w:val="en-GB"/>
        </w:rPr>
        <w:t xml:space="preserve">  and </w:t>
      </w:r>
      <w:proofErr w:type="spellStart"/>
      <w:r w:rsidRPr="008D0F2E">
        <w:rPr>
          <w:lang w:val="en-GB"/>
        </w:rPr>
        <w:t>Jastura</w:t>
      </w:r>
      <w:proofErr w:type="spellEnd"/>
      <w:r w:rsidRPr="008D0F2E">
        <w:rPr>
          <w:lang w:val="en-GB"/>
        </w:rPr>
        <w:t xml:space="preserve"> </w:t>
      </w:r>
      <w:proofErr w:type="spellStart"/>
      <w:r w:rsidRPr="008D0F2E">
        <w:rPr>
          <w:lang w:val="en-GB"/>
        </w:rPr>
        <w:t>Sdn</w:t>
      </w:r>
      <w:proofErr w:type="spellEnd"/>
      <w:r w:rsidRPr="008D0F2E">
        <w:rPr>
          <w:lang w:val="en-GB"/>
        </w:rPr>
        <w:t xml:space="preserve"> </w:t>
      </w:r>
      <w:proofErr w:type="spellStart"/>
      <w:r w:rsidRPr="008D0F2E">
        <w:rPr>
          <w:lang w:val="en-GB"/>
        </w:rPr>
        <w:t>Bhd</w:t>
      </w:r>
      <w:proofErr w:type="spellEnd"/>
      <w:r w:rsidRPr="008D0F2E">
        <w:rPr>
          <w:lang w:val="en-GB"/>
        </w:rPr>
        <w:t xml:space="preserve"> entered into a conditional share sale agreement with AMMB Holdings </w:t>
      </w:r>
      <w:proofErr w:type="spellStart"/>
      <w:r w:rsidRPr="008D0F2E">
        <w:rPr>
          <w:lang w:val="en-GB"/>
        </w:rPr>
        <w:t>Berhad</w:t>
      </w:r>
      <w:proofErr w:type="spellEnd"/>
      <w:r w:rsidRPr="008D0F2E">
        <w:rPr>
          <w:lang w:val="en-GB"/>
        </w:rPr>
        <w:t xml:space="preserve"> for the proposed disposal of 100% equity interest held by them in MBF Cards for a total cash consideration of RM623.40 million (subject to adjustment on completion).</w:t>
      </w:r>
      <w:r w:rsidRPr="008D0F2E">
        <w:rPr>
          <w:b/>
          <w:bCs/>
          <w:lang w:val="en-GB"/>
        </w:rPr>
        <w:t xml:space="preserve"> </w:t>
      </w:r>
    </w:p>
    <w:p w:rsidR="00AE3FBF" w:rsidRPr="00AE3FBF" w:rsidRDefault="00AE3FBF" w:rsidP="00AE3FBF">
      <w:pPr>
        <w:pStyle w:val="ListParagraph"/>
        <w:rPr>
          <w:b/>
          <w:bCs/>
          <w:lang w:val="en-GB"/>
        </w:rPr>
      </w:pPr>
    </w:p>
    <w:p w:rsidR="00AE3FBF" w:rsidRPr="00AE3FBF" w:rsidRDefault="00AE3FBF" w:rsidP="00AE3FBF">
      <w:pPr>
        <w:ind w:left="1080"/>
        <w:jc w:val="both"/>
        <w:rPr>
          <w:bCs/>
          <w:lang w:val="en-GB"/>
        </w:rPr>
      </w:pPr>
      <w:r w:rsidRPr="00AE3FBF">
        <w:rPr>
          <w:bCs/>
          <w:lang w:val="en-GB"/>
        </w:rPr>
        <w:t>As at the date of this report, the proposed disposal has yet to be completed.</w:t>
      </w:r>
    </w:p>
    <w:p w:rsidR="008D0F2E" w:rsidRPr="008D0F2E" w:rsidRDefault="008D0F2E" w:rsidP="00B03288">
      <w:pPr>
        <w:ind w:left="720"/>
        <w:jc w:val="both"/>
        <w:rPr>
          <w:b/>
          <w:bCs/>
          <w:lang w:val="en-GB"/>
        </w:rPr>
      </w:pPr>
    </w:p>
    <w:p w:rsidR="008D0F2E" w:rsidRPr="00F25806" w:rsidRDefault="008D0F2E" w:rsidP="00AE3FBF">
      <w:pPr>
        <w:pStyle w:val="ListParagraph"/>
        <w:numPr>
          <w:ilvl w:val="0"/>
          <w:numId w:val="16"/>
        </w:numPr>
        <w:jc w:val="both"/>
        <w:rPr>
          <w:b/>
          <w:bCs/>
          <w:lang w:val="en-GB"/>
        </w:rPr>
      </w:pPr>
      <w:r w:rsidRPr="008D0F2E">
        <w:t>On 17 July 2012, the Company disposed of</w:t>
      </w:r>
      <w:r w:rsidR="00AE3FBF">
        <w:t>f</w:t>
      </w:r>
      <w:r w:rsidRPr="008D0F2E">
        <w:t xml:space="preserve"> </w:t>
      </w:r>
      <w:r w:rsidR="00AE3FBF">
        <w:t xml:space="preserve">its wholly owned subsidiary, </w:t>
      </w:r>
      <w:r w:rsidRPr="008D0F2E">
        <w:t xml:space="preserve">MBf Protection Services </w:t>
      </w:r>
      <w:proofErr w:type="spellStart"/>
      <w:r w:rsidRPr="008D0F2E">
        <w:t>Sdn</w:t>
      </w:r>
      <w:proofErr w:type="spellEnd"/>
      <w:r w:rsidRPr="008D0F2E">
        <w:t xml:space="preserve"> </w:t>
      </w:r>
      <w:proofErr w:type="spellStart"/>
      <w:r w:rsidRPr="008D0F2E">
        <w:t>Bhd</w:t>
      </w:r>
      <w:proofErr w:type="spellEnd"/>
      <w:r w:rsidRPr="008D0F2E">
        <w:t xml:space="preserve"> to </w:t>
      </w:r>
      <w:proofErr w:type="spellStart"/>
      <w:r w:rsidRPr="008D0F2E">
        <w:t>Mohd</w:t>
      </w:r>
      <w:proofErr w:type="spellEnd"/>
      <w:r w:rsidRPr="008D0F2E">
        <w:t xml:space="preserve"> Dahili Bin Mansor and Raj Kumar A/L </w:t>
      </w:r>
      <w:proofErr w:type="spellStart"/>
      <w:r w:rsidRPr="008D0F2E">
        <w:t>Gurusawmi</w:t>
      </w:r>
      <w:proofErr w:type="spellEnd"/>
      <w:r w:rsidRPr="008D0F2E">
        <w:t xml:space="preserve"> for a total</w:t>
      </w:r>
      <w:r w:rsidR="00AE3FBF">
        <w:t xml:space="preserve"> cash</w:t>
      </w:r>
      <w:r w:rsidRPr="008D0F2E">
        <w:t xml:space="preserve"> consideration of RM20.00.</w:t>
      </w:r>
      <w:r w:rsidR="00AE3FBF">
        <w:t xml:space="preserve">  </w:t>
      </w:r>
      <w:r w:rsidRPr="008D0F2E">
        <w:t xml:space="preserve">MBf Protection Services </w:t>
      </w:r>
      <w:proofErr w:type="spellStart"/>
      <w:r w:rsidRPr="008D0F2E">
        <w:t>Sdn</w:t>
      </w:r>
      <w:proofErr w:type="spellEnd"/>
      <w:r w:rsidRPr="008D0F2E">
        <w:t xml:space="preserve"> </w:t>
      </w:r>
      <w:proofErr w:type="spellStart"/>
      <w:r w:rsidRPr="008D0F2E">
        <w:t>Bhd</w:t>
      </w:r>
      <w:r w:rsidR="00AE3FBF">
        <w:t>’s</w:t>
      </w:r>
      <w:proofErr w:type="spellEnd"/>
      <w:r w:rsidR="00AE3FBF">
        <w:t xml:space="preserve"> principal activity was the provision of security services to the </w:t>
      </w:r>
      <w:proofErr w:type="spellStart"/>
      <w:r w:rsidR="00AE3FBF">
        <w:t>MBfH</w:t>
      </w:r>
      <w:proofErr w:type="spellEnd"/>
      <w:r w:rsidR="00AE3FBF">
        <w:t xml:space="preserve"> Group of companies and had </w:t>
      </w:r>
      <w:r w:rsidRPr="008D0F2E">
        <w:t>ceased</w:t>
      </w:r>
      <w:r w:rsidR="00AE3FBF">
        <w:t xml:space="preserve"> business in 2008.</w:t>
      </w:r>
    </w:p>
    <w:p w:rsidR="00F25806" w:rsidRDefault="00F25806" w:rsidP="00F25806">
      <w:pPr>
        <w:jc w:val="both"/>
        <w:rPr>
          <w:b/>
          <w:bCs/>
          <w:lang w:val="en-GB"/>
        </w:rPr>
      </w:pPr>
    </w:p>
    <w:p w:rsidR="00F25806" w:rsidRPr="00F25806" w:rsidRDefault="00F25806" w:rsidP="00F25806">
      <w:pPr>
        <w:pStyle w:val="ListParagraph"/>
        <w:numPr>
          <w:ilvl w:val="0"/>
          <w:numId w:val="16"/>
        </w:numPr>
        <w:jc w:val="both"/>
        <w:rPr>
          <w:snapToGrid w:val="0"/>
          <w:color w:val="000000"/>
          <w:lang w:val="en-GB"/>
        </w:rPr>
      </w:pPr>
      <w:r w:rsidRPr="00F25806">
        <w:rPr>
          <w:lang w:val="en-GB"/>
        </w:rPr>
        <w:t>O</w:t>
      </w:r>
      <w:r w:rsidRPr="00F25806">
        <w:rPr>
          <w:snapToGrid w:val="0"/>
          <w:color w:val="000000"/>
          <w:lang w:val="en-GB"/>
        </w:rPr>
        <w:t xml:space="preserve">n 26 July 2012 and 6 August 2012, 50 warrants each were converted to an equal number of ordinary shares of RM1.00 each.  </w:t>
      </w:r>
    </w:p>
    <w:p w:rsidR="00F25806" w:rsidRPr="00F25806" w:rsidRDefault="00F25806" w:rsidP="00F25806">
      <w:pPr>
        <w:ind w:left="720"/>
        <w:jc w:val="both"/>
        <w:rPr>
          <w:snapToGrid w:val="0"/>
          <w:color w:val="000000"/>
          <w:lang w:val="en-GB"/>
        </w:rPr>
      </w:pPr>
    </w:p>
    <w:p w:rsidR="00F25806" w:rsidRPr="00F25806" w:rsidRDefault="00F25806" w:rsidP="00F25806">
      <w:pPr>
        <w:ind w:left="720" w:firstLine="360"/>
        <w:jc w:val="both"/>
        <w:rPr>
          <w:snapToGrid w:val="0"/>
          <w:color w:val="000000"/>
          <w:lang w:val="en-GB"/>
        </w:rPr>
      </w:pPr>
      <w:r w:rsidRPr="00F25806">
        <w:rPr>
          <w:snapToGrid w:val="0"/>
          <w:color w:val="000000"/>
          <w:lang w:val="en-GB"/>
        </w:rPr>
        <w:t>As at the date of this report, the number of listed securities in issue of the Company is as follows:-</w:t>
      </w:r>
    </w:p>
    <w:p w:rsidR="00F25806" w:rsidRPr="00F25806" w:rsidRDefault="00F25806" w:rsidP="00F25806">
      <w:pPr>
        <w:ind w:left="720"/>
        <w:jc w:val="both"/>
        <w:rPr>
          <w:snapToGrid w:val="0"/>
          <w:color w:val="000000"/>
          <w:lang w:val="en-GB"/>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1369"/>
      </w:tblGrid>
      <w:tr w:rsidR="00F25806" w:rsidTr="00F25806">
        <w:tc>
          <w:tcPr>
            <w:tcW w:w="3258" w:type="dxa"/>
          </w:tcPr>
          <w:p w:rsidR="00F25806" w:rsidRDefault="00F25806" w:rsidP="00F25806">
            <w:pPr>
              <w:jc w:val="right"/>
              <w:rPr>
                <w:snapToGrid w:val="0"/>
                <w:color w:val="000000"/>
                <w:lang w:val="en-GB"/>
              </w:rPr>
            </w:pPr>
            <w:r>
              <w:rPr>
                <w:snapToGrid w:val="0"/>
                <w:color w:val="000000"/>
                <w:lang w:val="en-GB"/>
              </w:rPr>
              <w:t>Ordinary Shares of RM1.00 each -</w:t>
            </w:r>
          </w:p>
        </w:tc>
        <w:tc>
          <w:tcPr>
            <w:tcW w:w="1369" w:type="dxa"/>
          </w:tcPr>
          <w:p w:rsidR="00F25806" w:rsidRDefault="00F25806" w:rsidP="00F25806">
            <w:pPr>
              <w:jc w:val="both"/>
              <w:rPr>
                <w:snapToGrid w:val="0"/>
                <w:color w:val="000000"/>
                <w:lang w:val="en-GB"/>
              </w:rPr>
            </w:pPr>
            <w:r>
              <w:rPr>
                <w:snapToGrid w:val="0"/>
                <w:color w:val="000000"/>
                <w:lang w:val="en-GB"/>
              </w:rPr>
              <w:t>570,050,134</w:t>
            </w:r>
          </w:p>
        </w:tc>
      </w:tr>
      <w:tr w:rsidR="00F25806" w:rsidTr="00F25806">
        <w:tc>
          <w:tcPr>
            <w:tcW w:w="3258" w:type="dxa"/>
          </w:tcPr>
          <w:p w:rsidR="00F25806" w:rsidRDefault="00F25806" w:rsidP="00F25806">
            <w:pPr>
              <w:jc w:val="right"/>
              <w:rPr>
                <w:snapToGrid w:val="0"/>
                <w:color w:val="000000"/>
                <w:lang w:val="en-GB"/>
              </w:rPr>
            </w:pPr>
            <w:r>
              <w:rPr>
                <w:snapToGrid w:val="0"/>
                <w:color w:val="000000"/>
                <w:lang w:val="en-GB"/>
              </w:rPr>
              <w:t xml:space="preserve">Warrants - </w:t>
            </w:r>
          </w:p>
        </w:tc>
        <w:tc>
          <w:tcPr>
            <w:tcW w:w="1369" w:type="dxa"/>
          </w:tcPr>
          <w:p w:rsidR="00F25806" w:rsidRDefault="00F25806" w:rsidP="00F25806">
            <w:pPr>
              <w:jc w:val="both"/>
              <w:rPr>
                <w:snapToGrid w:val="0"/>
                <w:color w:val="000000"/>
                <w:lang w:val="en-GB"/>
              </w:rPr>
            </w:pPr>
            <w:r>
              <w:rPr>
                <w:snapToGrid w:val="0"/>
                <w:color w:val="000000"/>
                <w:lang w:val="en-GB"/>
              </w:rPr>
              <w:t>265,063,496</w:t>
            </w:r>
          </w:p>
        </w:tc>
      </w:tr>
    </w:tbl>
    <w:p w:rsidR="0077594C" w:rsidRDefault="0077594C" w:rsidP="0077594C">
      <w:pPr>
        <w:pStyle w:val="BodyText"/>
        <w:ind w:left="2520" w:right="-450" w:hanging="1800"/>
      </w:pPr>
    </w:p>
    <w:p w:rsidR="00CE6CB6" w:rsidRDefault="00CE6CB6" w:rsidP="002661E6">
      <w:pPr>
        <w:pStyle w:val="BodyText"/>
        <w:ind w:left="720" w:right="-450" w:hanging="1800"/>
      </w:pPr>
    </w:p>
    <w:p w:rsidR="0059386B" w:rsidRDefault="00A1545F" w:rsidP="00A1545F">
      <w:pPr>
        <w:pStyle w:val="BodyText"/>
        <w:ind w:right="-450" w:hanging="1080"/>
        <w:rPr>
          <w:b/>
          <w:sz w:val="20"/>
        </w:rPr>
      </w:pPr>
      <w:r>
        <w:rPr>
          <w:sz w:val="20"/>
        </w:rPr>
        <w:tab/>
      </w:r>
      <w:r w:rsidR="0059386B" w:rsidRPr="00764F09">
        <w:rPr>
          <w:b/>
          <w:sz w:val="20"/>
        </w:rPr>
        <w:t>A1</w:t>
      </w:r>
      <w:r w:rsidR="00EE0622">
        <w:rPr>
          <w:b/>
          <w:sz w:val="20"/>
        </w:rPr>
        <w:t>3</w:t>
      </w:r>
      <w:r w:rsidR="0059386B">
        <w:rPr>
          <w:sz w:val="20"/>
        </w:rPr>
        <w:tab/>
      </w:r>
      <w:r w:rsidR="0059386B" w:rsidRPr="00B06C0C">
        <w:rPr>
          <w:b/>
          <w:sz w:val="20"/>
        </w:rPr>
        <w:t>Changes in composition of the Group</w:t>
      </w:r>
    </w:p>
    <w:p w:rsidR="00B06C0C" w:rsidRPr="008D0F2E" w:rsidRDefault="00B06C0C" w:rsidP="00491580">
      <w:pPr>
        <w:pStyle w:val="BodyText"/>
        <w:ind w:left="720" w:right="-450" w:hanging="1800"/>
        <w:rPr>
          <w:b/>
          <w:color w:val="auto"/>
          <w:sz w:val="20"/>
        </w:rPr>
      </w:pPr>
    </w:p>
    <w:p w:rsidR="008D0F2E" w:rsidRPr="008D0F2E" w:rsidRDefault="008D0F2E" w:rsidP="008D0F2E">
      <w:pPr>
        <w:spacing w:after="200"/>
        <w:ind w:left="720"/>
        <w:rPr>
          <w:lang w:val="en-GB"/>
        </w:rPr>
      </w:pPr>
      <w:r w:rsidRPr="008D0F2E">
        <w:rPr>
          <w:lang w:val="en-GB"/>
        </w:rPr>
        <w:t>On 13 June 2012, in line with</w:t>
      </w:r>
      <w:r w:rsidR="00BD2727">
        <w:rPr>
          <w:lang w:val="en-GB"/>
        </w:rPr>
        <w:t xml:space="preserve"> the rationalisation plan of the Group’s</w:t>
      </w:r>
      <w:r w:rsidRPr="008D0F2E">
        <w:rPr>
          <w:lang w:val="en-GB"/>
        </w:rPr>
        <w:t xml:space="preserve"> shipping operation</w:t>
      </w:r>
      <w:r w:rsidR="00BD2727">
        <w:rPr>
          <w:lang w:val="en-GB"/>
        </w:rPr>
        <w:t>s</w:t>
      </w:r>
      <w:r w:rsidRPr="008D0F2E">
        <w:rPr>
          <w:lang w:val="en-GB"/>
        </w:rPr>
        <w:t xml:space="preserve">, the following wholly-owned subsidiaries of the Company </w:t>
      </w:r>
      <w:r w:rsidR="00BD2727">
        <w:rPr>
          <w:lang w:val="en-GB"/>
        </w:rPr>
        <w:t>were</w:t>
      </w:r>
      <w:r w:rsidRPr="008D0F2E">
        <w:rPr>
          <w:lang w:val="en-GB"/>
        </w:rPr>
        <w:t xml:space="preserve"> placed under voluntary liquidation in the</w:t>
      </w:r>
      <w:r w:rsidR="00BD2727">
        <w:rPr>
          <w:lang w:val="en-GB"/>
        </w:rPr>
        <w:t xml:space="preserve">ir </w:t>
      </w:r>
      <w:r w:rsidRPr="008D0F2E">
        <w:rPr>
          <w:lang w:val="en-GB"/>
        </w:rPr>
        <w:t>respective countries :-</w:t>
      </w:r>
    </w:p>
    <w:tbl>
      <w:tblPr>
        <w:tblW w:w="8640" w:type="dxa"/>
        <w:tblInd w:w="828" w:type="dxa"/>
        <w:tblCellMar>
          <w:left w:w="0" w:type="dxa"/>
          <w:right w:w="0" w:type="dxa"/>
        </w:tblCellMar>
        <w:tblLook w:val="04A0"/>
      </w:tblPr>
      <w:tblGrid>
        <w:gridCol w:w="3881"/>
        <w:gridCol w:w="1940"/>
        <w:gridCol w:w="2819"/>
      </w:tblGrid>
      <w:tr w:rsidR="008D0F2E" w:rsidRPr="008D0F2E" w:rsidTr="008D0F2E">
        <w:tc>
          <w:tcPr>
            <w:tcW w:w="3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b/>
              </w:rPr>
            </w:pPr>
            <w:r w:rsidRPr="008D0F2E">
              <w:rPr>
                <w:b/>
              </w:rPr>
              <w:t xml:space="preserve">Name of Subsidiaries </w:t>
            </w:r>
          </w:p>
        </w:tc>
        <w:tc>
          <w:tcPr>
            <w:tcW w:w="19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b/>
              </w:rPr>
            </w:pPr>
            <w:r w:rsidRPr="008D0F2E">
              <w:rPr>
                <w:b/>
              </w:rPr>
              <w:t>Country of Incorporation</w:t>
            </w:r>
          </w:p>
        </w:tc>
        <w:tc>
          <w:tcPr>
            <w:tcW w:w="28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b/>
              </w:rPr>
            </w:pPr>
            <w:r w:rsidRPr="008D0F2E">
              <w:rPr>
                <w:b/>
              </w:rPr>
              <w:t>Nature of Liquidation</w:t>
            </w:r>
          </w:p>
        </w:tc>
      </w:tr>
      <w:tr w:rsidR="008D0F2E" w:rsidRPr="008D0F2E" w:rsidTr="008D0F2E">
        <w:tc>
          <w:tcPr>
            <w:tcW w:w="3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rPr>
            </w:pPr>
            <w:r w:rsidRPr="008D0F2E">
              <w:t>MBf Carpenters Shipping Agency Pty Ltd</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rPr>
            </w:pPr>
            <w:r w:rsidRPr="008D0F2E">
              <w:t>Australia</w:t>
            </w:r>
          </w:p>
        </w:tc>
        <w:tc>
          <w:tcPr>
            <w:tcW w:w="2819" w:type="dxa"/>
            <w:tcBorders>
              <w:top w:val="nil"/>
              <w:left w:val="nil"/>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rPr>
            </w:pPr>
            <w:r w:rsidRPr="008D0F2E">
              <w:t xml:space="preserve">Voluntary deregistration </w:t>
            </w:r>
          </w:p>
        </w:tc>
      </w:tr>
      <w:tr w:rsidR="008D0F2E" w:rsidRPr="008D0F2E" w:rsidTr="008D0F2E">
        <w:tc>
          <w:tcPr>
            <w:tcW w:w="3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rPr>
            </w:pPr>
            <w:r w:rsidRPr="008D0F2E">
              <w:t>MBf Carpenters Shipping (NZ) Ltd</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rPr>
            </w:pPr>
            <w:r w:rsidRPr="008D0F2E">
              <w:t>New Zealand</w:t>
            </w:r>
          </w:p>
        </w:tc>
        <w:tc>
          <w:tcPr>
            <w:tcW w:w="2819" w:type="dxa"/>
            <w:tcBorders>
              <w:top w:val="nil"/>
              <w:left w:val="nil"/>
              <w:bottom w:val="single" w:sz="8" w:space="0" w:color="000000"/>
              <w:right w:val="single" w:sz="8" w:space="0" w:color="000000"/>
            </w:tcBorders>
            <w:tcMar>
              <w:top w:w="0" w:type="dxa"/>
              <w:left w:w="108" w:type="dxa"/>
              <w:bottom w:w="0" w:type="dxa"/>
              <w:right w:w="108" w:type="dxa"/>
            </w:tcMar>
            <w:hideMark/>
          </w:tcPr>
          <w:p w:rsidR="008D0F2E" w:rsidRPr="008D0F2E" w:rsidRDefault="008D0F2E">
            <w:pPr>
              <w:rPr>
                <w:rFonts w:eastAsia="PMingLiU"/>
              </w:rPr>
            </w:pPr>
            <w:r w:rsidRPr="008D0F2E">
              <w:t>Members’ voluntary winding-up</w:t>
            </w:r>
          </w:p>
        </w:tc>
      </w:tr>
    </w:tbl>
    <w:p w:rsidR="00956002" w:rsidRDefault="00956002" w:rsidP="00956002">
      <w:pPr>
        <w:ind w:left="720" w:right="-61"/>
        <w:jc w:val="both"/>
        <w:rPr>
          <w:snapToGrid w:val="0"/>
        </w:rPr>
      </w:pPr>
    </w:p>
    <w:p w:rsidR="003D4E75" w:rsidRDefault="003D4E75" w:rsidP="00730038">
      <w:pPr>
        <w:ind w:left="720" w:right="-180" w:hanging="1800"/>
        <w:jc w:val="both"/>
        <w:rPr>
          <w:snapToGrid w:val="0"/>
        </w:rPr>
      </w:pPr>
    </w:p>
    <w:p w:rsidR="0059386B" w:rsidRDefault="009B7AF0" w:rsidP="00A1545F">
      <w:pPr>
        <w:pStyle w:val="BodyText"/>
        <w:tabs>
          <w:tab w:val="left" w:pos="720"/>
        </w:tabs>
        <w:ind w:left="720" w:right="-450" w:hanging="720"/>
        <w:rPr>
          <w:b/>
          <w:sz w:val="20"/>
        </w:rPr>
      </w:pPr>
      <w:r w:rsidRPr="00764F09">
        <w:rPr>
          <w:b/>
          <w:sz w:val="20"/>
        </w:rPr>
        <w:t>A</w:t>
      </w:r>
      <w:r w:rsidR="0059386B" w:rsidRPr="00764F09">
        <w:rPr>
          <w:b/>
          <w:sz w:val="20"/>
        </w:rPr>
        <w:t>1</w:t>
      </w:r>
      <w:r w:rsidR="00EE0622">
        <w:rPr>
          <w:b/>
          <w:sz w:val="20"/>
        </w:rPr>
        <w:t>4</w:t>
      </w:r>
      <w:r w:rsidR="0059386B">
        <w:rPr>
          <w:sz w:val="20"/>
        </w:rPr>
        <w:tab/>
      </w:r>
      <w:r w:rsidR="0059386B" w:rsidRPr="00595B37">
        <w:rPr>
          <w:b/>
          <w:color w:val="auto"/>
          <w:sz w:val="20"/>
        </w:rPr>
        <w:t>Commitments</w:t>
      </w:r>
    </w:p>
    <w:p w:rsidR="003F41FF" w:rsidRDefault="003F41FF" w:rsidP="00491580">
      <w:pPr>
        <w:pStyle w:val="BodyText"/>
        <w:tabs>
          <w:tab w:val="left" w:pos="720"/>
        </w:tabs>
        <w:ind w:left="720" w:right="-450" w:hanging="1800"/>
        <w:rPr>
          <w:sz w:val="20"/>
        </w:rPr>
      </w:pPr>
    </w:p>
    <w:p w:rsidR="0059386B" w:rsidRPr="004802E2" w:rsidRDefault="0059386B" w:rsidP="00491580">
      <w:pPr>
        <w:pStyle w:val="BodyText"/>
        <w:tabs>
          <w:tab w:val="left" w:pos="720"/>
        </w:tabs>
        <w:ind w:left="720" w:right="-450" w:hanging="1800"/>
        <w:rPr>
          <w:sz w:val="20"/>
        </w:rPr>
      </w:pPr>
      <w:r>
        <w:rPr>
          <w:sz w:val="20"/>
        </w:rPr>
        <w:tab/>
      </w:r>
      <w:r w:rsidRPr="004802E2">
        <w:rPr>
          <w:sz w:val="20"/>
        </w:rPr>
        <w:t>As at 3</w:t>
      </w:r>
      <w:r w:rsidR="00171671">
        <w:rPr>
          <w:sz w:val="20"/>
        </w:rPr>
        <w:t>0</w:t>
      </w:r>
      <w:r w:rsidRPr="004802E2">
        <w:rPr>
          <w:sz w:val="20"/>
        </w:rPr>
        <w:t xml:space="preserve"> </w:t>
      </w:r>
      <w:r w:rsidR="00171671">
        <w:rPr>
          <w:sz w:val="20"/>
        </w:rPr>
        <w:t>June</w:t>
      </w:r>
      <w:r w:rsidRPr="004802E2">
        <w:rPr>
          <w:sz w:val="20"/>
        </w:rPr>
        <w:t xml:space="preserve"> 20</w:t>
      </w:r>
      <w:r w:rsidR="00B904C3" w:rsidRPr="004802E2">
        <w:rPr>
          <w:sz w:val="20"/>
        </w:rPr>
        <w:t>1</w:t>
      </w:r>
      <w:r w:rsidR="007A452D">
        <w:rPr>
          <w:sz w:val="20"/>
        </w:rPr>
        <w:t>2</w:t>
      </w:r>
      <w:r w:rsidR="00C02B76" w:rsidRPr="004802E2">
        <w:rPr>
          <w:sz w:val="20"/>
        </w:rPr>
        <w:t xml:space="preserve"> the commitments were:-</w:t>
      </w:r>
    </w:p>
    <w:tbl>
      <w:tblPr>
        <w:tblW w:w="0" w:type="auto"/>
        <w:tblInd w:w="828" w:type="dxa"/>
        <w:tblLayout w:type="fixed"/>
        <w:tblLook w:val="0000"/>
      </w:tblPr>
      <w:tblGrid>
        <w:gridCol w:w="360"/>
        <w:gridCol w:w="6030"/>
        <w:gridCol w:w="1260"/>
      </w:tblGrid>
      <w:tr w:rsidR="00A1545F" w:rsidRPr="004802E2">
        <w:tc>
          <w:tcPr>
            <w:tcW w:w="360" w:type="dxa"/>
          </w:tcPr>
          <w:p w:rsidR="00A1545F" w:rsidRPr="004802E2" w:rsidRDefault="00A1545F" w:rsidP="00A1545F">
            <w:pPr>
              <w:pStyle w:val="BodyText"/>
              <w:tabs>
                <w:tab w:val="left" w:pos="720"/>
              </w:tabs>
              <w:ind w:right="-108" w:hanging="108"/>
              <w:rPr>
                <w:sz w:val="20"/>
              </w:rPr>
            </w:pPr>
          </w:p>
        </w:tc>
        <w:tc>
          <w:tcPr>
            <w:tcW w:w="6030" w:type="dxa"/>
          </w:tcPr>
          <w:p w:rsidR="00A1545F" w:rsidRPr="004802E2" w:rsidRDefault="00A1545F" w:rsidP="00A1545F">
            <w:pPr>
              <w:pStyle w:val="BodyText"/>
              <w:tabs>
                <w:tab w:val="left" w:pos="720"/>
              </w:tabs>
              <w:ind w:right="-108" w:hanging="108"/>
              <w:rPr>
                <w:sz w:val="20"/>
              </w:rPr>
            </w:pPr>
          </w:p>
        </w:tc>
        <w:tc>
          <w:tcPr>
            <w:tcW w:w="1260" w:type="dxa"/>
          </w:tcPr>
          <w:p w:rsidR="00A1545F" w:rsidRPr="004802E2" w:rsidRDefault="00A1545F" w:rsidP="00A1545F">
            <w:pPr>
              <w:pStyle w:val="BodyText"/>
              <w:tabs>
                <w:tab w:val="left" w:pos="720"/>
              </w:tabs>
              <w:ind w:right="-108" w:hanging="108"/>
              <w:jc w:val="center"/>
              <w:rPr>
                <w:b/>
                <w:sz w:val="20"/>
              </w:rPr>
            </w:pPr>
            <w:r w:rsidRPr="004802E2">
              <w:rPr>
                <w:b/>
                <w:sz w:val="20"/>
              </w:rPr>
              <w:t>RM’000</w:t>
            </w:r>
          </w:p>
        </w:tc>
      </w:tr>
      <w:tr w:rsidR="00A1545F" w:rsidRPr="00216361">
        <w:tc>
          <w:tcPr>
            <w:tcW w:w="360" w:type="dxa"/>
          </w:tcPr>
          <w:p w:rsidR="00A1545F" w:rsidRPr="00216361" w:rsidRDefault="00C02B76" w:rsidP="00A1545F">
            <w:pPr>
              <w:pStyle w:val="BodyText"/>
              <w:tabs>
                <w:tab w:val="left" w:pos="720"/>
              </w:tabs>
              <w:ind w:right="-108" w:hanging="108"/>
              <w:rPr>
                <w:sz w:val="20"/>
              </w:rPr>
            </w:pPr>
            <w:r w:rsidRPr="00216361">
              <w:rPr>
                <w:sz w:val="20"/>
              </w:rPr>
              <w:t>a)</w:t>
            </w:r>
          </w:p>
        </w:tc>
        <w:tc>
          <w:tcPr>
            <w:tcW w:w="6030" w:type="dxa"/>
          </w:tcPr>
          <w:p w:rsidR="00A1545F" w:rsidRPr="00216361" w:rsidRDefault="00A1545F" w:rsidP="00A1545F">
            <w:pPr>
              <w:pStyle w:val="BodyText"/>
              <w:tabs>
                <w:tab w:val="left" w:pos="720"/>
              </w:tabs>
              <w:ind w:right="-108" w:hanging="108"/>
              <w:rPr>
                <w:sz w:val="20"/>
              </w:rPr>
            </w:pPr>
            <w:r w:rsidRPr="00216361">
              <w:rPr>
                <w:sz w:val="20"/>
              </w:rPr>
              <w:t>Capital commitments</w:t>
            </w:r>
          </w:p>
        </w:tc>
        <w:tc>
          <w:tcPr>
            <w:tcW w:w="1260" w:type="dxa"/>
          </w:tcPr>
          <w:p w:rsidR="00A1545F" w:rsidRPr="00216361" w:rsidRDefault="00A1545F" w:rsidP="00A1545F">
            <w:pPr>
              <w:pStyle w:val="BodyText"/>
              <w:tabs>
                <w:tab w:val="left" w:pos="720"/>
              </w:tabs>
              <w:ind w:right="-108" w:hanging="108"/>
              <w:jc w:val="right"/>
              <w:rPr>
                <w:sz w:val="20"/>
              </w:rPr>
            </w:pP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roofErr w:type="spellStart"/>
            <w:r w:rsidRPr="00216361">
              <w:rPr>
                <w:sz w:val="20"/>
              </w:rPr>
              <w:t>Authorised</w:t>
            </w:r>
            <w:proofErr w:type="spellEnd"/>
            <w:r w:rsidRPr="00216361">
              <w:rPr>
                <w:sz w:val="20"/>
              </w:rPr>
              <w:t xml:space="preserve"> and contracted for:</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property, plant and equipment</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investment in unquoted shares</w:t>
            </w:r>
          </w:p>
        </w:tc>
        <w:tc>
          <w:tcPr>
            <w:tcW w:w="1260" w:type="dxa"/>
            <w:tcBorders>
              <w:bottom w:val="single" w:sz="4" w:space="0" w:color="auto"/>
            </w:tcBorders>
          </w:tcPr>
          <w:p w:rsidR="00A1545F" w:rsidRPr="008321B0" w:rsidRDefault="00A1545F" w:rsidP="00A1545F">
            <w:pPr>
              <w:pStyle w:val="BodyText"/>
              <w:tabs>
                <w:tab w:val="left" w:pos="720"/>
              </w:tabs>
              <w:ind w:right="-108" w:hanging="108"/>
              <w:jc w:val="center"/>
              <w:rPr>
                <w:sz w:val="20"/>
              </w:rPr>
            </w:pPr>
          </w:p>
          <w:p w:rsidR="00A1545F" w:rsidRPr="008321B0" w:rsidRDefault="00171671" w:rsidP="00A1545F">
            <w:pPr>
              <w:pStyle w:val="BodyText"/>
              <w:tabs>
                <w:tab w:val="left" w:pos="720"/>
              </w:tabs>
              <w:ind w:right="-108" w:hanging="108"/>
              <w:jc w:val="center"/>
              <w:rPr>
                <w:sz w:val="20"/>
              </w:rPr>
            </w:pPr>
            <w:r>
              <w:rPr>
                <w:sz w:val="20"/>
              </w:rPr>
              <w:t xml:space="preserve">  </w:t>
            </w:r>
            <w:r w:rsidR="00486AD0" w:rsidRPr="008321B0">
              <w:rPr>
                <w:sz w:val="20"/>
              </w:rPr>
              <w:t xml:space="preserve">  </w:t>
            </w:r>
            <w:r w:rsidR="007F6301" w:rsidRPr="008321B0">
              <w:rPr>
                <w:sz w:val="20"/>
              </w:rPr>
              <w:t xml:space="preserve"> </w:t>
            </w:r>
            <w:r>
              <w:rPr>
                <w:sz w:val="20"/>
              </w:rPr>
              <w:t>1,528</w:t>
            </w:r>
          </w:p>
          <w:p w:rsidR="00A1545F" w:rsidRPr="008321B0" w:rsidRDefault="00A1545F" w:rsidP="00171671">
            <w:pPr>
              <w:pStyle w:val="BodyText"/>
              <w:tabs>
                <w:tab w:val="left" w:pos="720"/>
              </w:tabs>
              <w:ind w:right="-108" w:hanging="108"/>
              <w:jc w:val="center"/>
              <w:rPr>
                <w:sz w:val="20"/>
              </w:rPr>
            </w:pPr>
            <w:r w:rsidRPr="008321B0">
              <w:rPr>
                <w:sz w:val="20"/>
              </w:rPr>
              <w:t xml:space="preserve"> </w:t>
            </w:r>
            <w:r w:rsidR="00E00805" w:rsidRPr="008321B0">
              <w:rPr>
                <w:sz w:val="20"/>
              </w:rPr>
              <w:t xml:space="preserve"> </w:t>
            </w:r>
            <w:r w:rsidRPr="008321B0">
              <w:rPr>
                <w:sz w:val="20"/>
              </w:rPr>
              <w:t xml:space="preserve"> </w:t>
            </w:r>
            <w:r w:rsidR="000F455C" w:rsidRPr="008321B0">
              <w:rPr>
                <w:sz w:val="20"/>
              </w:rPr>
              <w:t>2</w:t>
            </w:r>
            <w:r w:rsidR="00171671">
              <w:rPr>
                <w:sz w:val="20"/>
              </w:rPr>
              <w:t>4</w:t>
            </w:r>
            <w:r w:rsidRPr="008321B0">
              <w:rPr>
                <w:sz w:val="20"/>
              </w:rPr>
              <w:t>,</w:t>
            </w:r>
            <w:r w:rsidR="00171671">
              <w:rPr>
                <w:sz w:val="20"/>
              </w:rPr>
              <w:t>492</w:t>
            </w: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
        </w:tc>
        <w:tc>
          <w:tcPr>
            <w:tcW w:w="1260" w:type="dxa"/>
            <w:tcBorders>
              <w:top w:val="single" w:sz="4" w:space="0" w:color="auto"/>
              <w:bottom w:val="single" w:sz="12" w:space="0" w:color="auto"/>
            </w:tcBorders>
          </w:tcPr>
          <w:p w:rsidR="00A1545F" w:rsidRPr="008321B0" w:rsidRDefault="00486AD0" w:rsidP="00171671">
            <w:pPr>
              <w:pStyle w:val="BodyText"/>
              <w:tabs>
                <w:tab w:val="left" w:pos="720"/>
              </w:tabs>
              <w:ind w:right="-108" w:hanging="108"/>
              <w:rPr>
                <w:b/>
                <w:sz w:val="20"/>
              </w:rPr>
            </w:pPr>
            <w:r w:rsidRPr="008321B0">
              <w:rPr>
                <w:b/>
                <w:sz w:val="20"/>
              </w:rPr>
              <w:t xml:space="preserve">  </w:t>
            </w:r>
            <w:r w:rsidR="007A6B89" w:rsidRPr="008321B0">
              <w:rPr>
                <w:b/>
                <w:sz w:val="20"/>
              </w:rPr>
              <w:t xml:space="preserve">      </w:t>
            </w:r>
            <w:r w:rsidR="00171671">
              <w:rPr>
                <w:b/>
                <w:sz w:val="20"/>
              </w:rPr>
              <w:t>26</w:t>
            </w:r>
            <w:r w:rsidR="007A452D">
              <w:rPr>
                <w:b/>
                <w:sz w:val="20"/>
              </w:rPr>
              <w:t>,</w:t>
            </w:r>
            <w:r w:rsidR="00171671">
              <w:rPr>
                <w:b/>
                <w:sz w:val="20"/>
              </w:rPr>
              <w:t>020</w:t>
            </w:r>
          </w:p>
        </w:tc>
      </w:tr>
      <w:tr w:rsidR="00A1545F" w:rsidRPr="00216361" w:rsidTr="007A6B89">
        <w:tc>
          <w:tcPr>
            <w:tcW w:w="360" w:type="dxa"/>
          </w:tcPr>
          <w:p w:rsidR="00A1545F" w:rsidRPr="00216361" w:rsidRDefault="00A1545F" w:rsidP="00A1545F">
            <w:pPr>
              <w:pStyle w:val="BodyText"/>
              <w:tabs>
                <w:tab w:val="left" w:pos="720"/>
              </w:tabs>
              <w:ind w:right="-108" w:hanging="108"/>
              <w:rPr>
                <w:sz w:val="20"/>
              </w:rPr>
            </w:pPr>
          </w:p>
        </w:tc>
        <w:tc>
          <w:tcPr>
            <w:tcW w:w="6030" w:type="dxa"/>
          </w:tcPr>
          <w:p w:rsidR="00A1545F" w:rsidRPr="00216361" w:rsidRDefault="00A1545F" w:rsidP="00A1545F">
            <w:pPr>
              <w:pStyle w:val="BodyText"/>
              <w:tabs>
                <w:tab w:val="left" w:pos="720"/>
              </w:tabs>
              <w:ind w:right="-108" w:hanging="108"/>
              <w:rPr>
                <w:sz w:val="20"/>
              </w:rPr>
            </w:pPr>
            <w:proofErr w:type="spellStart"/>
            <w:r w:rsidRPr="00216361">
              <w:rPr>
                <w:sz w:val="20"/>
              </w:rPr>
              <w:t>Authorised</w:t>
            </w:r>
            <w:proofErr w:type="spellEnd"/>
            <w:r w:rsidRPr="00216361">
              <w:rPr>
                <w:sz w:val="20"/>
              </w:rPr>
              <w:t xml:space="preserve"> but not contracted for:</w:t>
            </w:r>
          </w:p>
          <w:p w:rsidR="00A1545F" w:rsidRPr="00216361" w:rsidRDefault="00A1545F" w:rsidP="00AC530C">
            <w:pPr>
              <w:pStyle w:val="BodyText"/>
              <w:numPr>
                <w:ilvl w:val="0"/>
                <w:numId w:val="3"/>
              </w:numPr>
              <w:tabs>
                <w:tab w:val="left" w:pos="720"/>
              </w:tabs>
              <w:ind w:right="-108" w:hanging="513"/>
              <w:rPr>
                <w:sz w:val="20"/>
              </w:rPr>
            </w:pPr>
            <w:r w:rsidRPr="00216361">
              <w:rPr>
                <w:sz w:val="20"/>
              </w:rPr>
              <w:t>Purchase of property, plant and equipment</w:t>
            </w:r>
          </w:p>
        </w:tc>
        <w:tc>
          <w:tcPr>
            <w:tcW w:w="1260" w:type="dxa"/>
            <w:tcBorders>
              <w:top w:val="single" w:sz="12" w:space="0" w:color="auto"/>
              <w:bottom w:val="single" w:sz="12" w:space="0" w:color="000000"/>
            </w:tcBorders>
          </w:tcPr>
          <w:p w:rsidR="00A1545F" w:rsidRPr="008321B0" w:rsidRDefault="00A1545F" w:rsidP="00A1545F">
            <w:pPr>
              <w:pStyle w:val="BodyText"/>
              <w:tabs>
                <w:tab w:val="left" w:pos="720"/>
              </w:tabs>
              <w:ind w:right="-108" w:hanging="108"/>
              <w:rPr>
                <w:b/>
                <w:sz w:val="20"/>
              </w:rPr>
            </w:pPr>
          </w:p>
          <w:p w:rsidR="00A1545F" w:rsidRPr="008321B0" w:rsidRDefault="00A1545F" w:rsidP="00171671">
            <w:pPr>
              <w:pStyle w:val="BodyText"/>
              <w:tabs>
                <w:tab w:val="left" w:pos="720"/>
                <w:tab w:val="left" w:pos="902"/>
              </w:tabs>
              <w:ind w:right="-108" w:hanging="108"/>
              <w:rPr>
                <w:b/>
                <w:sz w:val="20"/>
              </w:rPr>
            </w:pPr>
            <w:r w:rsidRPr="008321B0">
              <w:rPr>
                <w:b/>
                <w:sz w:val="20"/>
              </w:rPr>
              <w:t xml:space="preserve">         </w:t>
            </w:r>
            <w:r w:rsidR="00171671">
              <w:rPr>
                <w:b/>
                <w:sz w:val="20"/>
              </w:rPr>
              <w:t xml:space="preserve"> </w:t>
            </w:r>
            <w:r w:rsidR="004E4BB2">
              <w:rPr>
                <w:b/>
                <w:sz w:val="20"/>
              </w:rPr>
              <w:t>1,</w:t>
            </w:r>
            <w:r w:rsidR="00171671">
              <w:rPr>
                <w:b/>
                <w:sz w:val="20"/>
              </w:rPr>
              <w:t>763</w:t>
            </w:r>
          </w:p>
        </w:tc>
      </w:tr>
      <w:tr w:rsidR="00A1545F" w:rsidRPr="00714B52">
        <w:tc>
          <w:tcPr>
            <w:tcW w:w="360" w:type="dxa"/>
          </w:tcPr>
          <w:p w:rsidR="00A1545F" w:rsidRPr="00714B52" w:rsidRDefault="00A1545F" w:rsidP="00A1545F">
            <w:pPr>
              <w:pStyle w:val="BodyText"/>
              <w:tabs>
                <w:tab w:val="left" w:pos="720"/>
              </w:tabs>
              <w:ind w:right="-108" w:hanging="108"/>
              <w:rPr>
                <w:sz w:val="20"/>
              </w:rPr>
            </w:pPr>
          </w:p>
        </w:tc>
        <w:tc>
          <w:tcPr>
            <w:tcW w:w="6030" w:type="dxa"/>
          </w:tcPr>
          <w:p w:rsidR="00A1545F" w:rsidRPr="00714B52" w:rsidRDefault="00A1545F" w:rsidP="00A1545F">
            <w:pPr>
              <w:pStyle w:val="BodyText"/>
              <w:tabs>
                <w:tab w:val="left" w:pos="720"/>
              </w:tabs>
              <w:ind w:right="-108" w:hanging="108"/>
              <w:rPr>
                <w:sz w:val="20"/>
              </w:rPr>
            </w:pPr>
          </w:p>
          <w:p w:rsidR="00AB1E1E" w:rsidRPr="00714B52" w:rsidRDefault="00AB1E1E" w:rsidP="00A1545F">
            <w:pPr>
              <w:pStyle w:val="BodyText"/>
              <w:tabs>
                <w:tab w:val="left" w:pos="720"/>
              </w:tabs>
              <w:ind w:right="-108" w:hanging="108"/>
              <w:rPr>
                <w:sz w:val="20"/>
              </w:rPr>
            </w:pPr>
          </w:p>
          <w:p w:rsidR="00156B45" w:rsidRPr="00714B52" w:rsidRDefault="00156B45" w:rsidP="00A1545F">
            <w:pPr>
              <w:pStyle w:val="BodyText"/>
              <w:tabs>
                <w:tab w:val="left" w:pos="720"/>
              </w:tabs>
              <w:ind w:right="-108" w:hanging="108"/>
              <w:rPr>
                <w:sz w:val="20"/>
              </w:rPr>
            </w:pPr>
          </w:p>
        </w:tc>
        <w:tc>
          <w:tcPr>
            <w:tcW w:w="1260" w:type="dxa"/>
            <w:tcBorders>
              <w:top w:val="single" w:sz="12" w:space="0" w:color="000000"/>
            </w:tcBorders>
          </w:tcPr>
          <w:p w:rsidR="00A1545F" w:rsidRPr="00714B52" w:rsidRDefault="00A1545F" w:rsidP="00A1545F">
            <w:pPr>
              <w:pStyle w:val="BodyText"/>
              <w:tabs>
                <w:tab w:val="left" w:pos="720"/>
              </w:tabs>
              <w:ind w:right="-108" w:hanging="108"/>
              <w:rPr>
                <w:sz w:val="20"/>
              </w:rPr>
            </w:pPr>
          </w:p>
        </w:tc>
      </w:tr>
      <w:tr w:rsidR="00A1545F" w:rsidRPr="00714B52">
        <w:tc>
          <w:tcPr>
            <w:tcW w:w="360" w:type="dxa"/>
          </w:tcPr>
          <w:p w:rsidR="00A1545F" w:rsidRPr="00714B52" w:rsidRDefault="00A1545F" w:rsidP="00A1545F">
            <w:pPr>
              <w:pStyle w:val="BodyText"/>
              <w:tabs>
                <w:tab w:val="left" w:pos="720"/>
              </w:tabs>
              <w:ind w:right="-108" w:hanging="108"/>
              <w:rPr>
                <w:sz w:val="20"/>
              </w:rPr>
            </w:pPr>
            <w:r w:rsidRPr="00714B52">
              <w:rPr>
                <w:sz w:val="20"/>
              </w:rPr>
              <w:t>b)</w:t>
            </w:r>
          </w:p>
        </w:tc>
        <w:tc>
          <w:tcPr>
            <w:tcW w:w="6030" w:type="dxa"/>
          </w:tcPr>
          <w:p w:rsidR="00A1545F" w:rsidRPr="00714B52" w:rsidRDefault="00A1545F" w:rsidP="00A1545F">
            <w:pPr>
              <w:pStyle w:val="BodyText"/>
              <w:tabs>
                <w:tab w:val="left" w:pos="720"/>
              </w:tabs>
              <w:ind w:right="-108" w:hanging="108"/>
              <w:rPr>
                <w:sz w:val="20"/>
              </w:rPr>
            </w:pPr>
            <w:r w:rsidRPr="00714B52">
              <w:rPr>
                <w:sz w:val="20"/>
              </w:rPr>
              <w:t>Operating expenditure:</w:t>
            </w:r>
          </w:p>
        </w:tc>
        <w:tc>
          <w:tcPr>
            <w:tcW w:w="1260" w:type="dxa"/>
          </w:tcPr>
          <w:p w:rsidR="00A1545F" w:rsidRPr="00714B52" w:rsidRDefault="00A1545F" w:rsidP="00A1545F">
            <w:pPr>
              <w:pStyle w:val="BodyText"/>
              <w:tabs>
                <w:tab w:val="left" w:pos="720"/>
              </w:tabs>
              <w:ind w:right="-108" w:hanging="108"/>
              <w:rPr>
                <w:sz w:val="20"/>
              </w:rPr>
            </w:pPr>
          </w:p>
        </w:tc>
      </w:tr>
      <w:tr w:rsidR="00952CF8" w:rsidRPr="00714B52">
        <w:tc>
          <w:tcPr>
            <w:tcW w:w="360" w:type="dxa"/>
          </w:tcPr>
          <w:p w:rsidR="00952CF8" w:rsidRPr="00714B52" w:rsidRDefault="00952CF8" w:rsidP="00A1545F">
            <w:pPr>
              <w:pStyle w:val="BodyText"/>
              <w:tabs>
                <w:tab w:val="left" w:pos="720"/>
              </w:tabs>
              <w:ind w:right="-108" w:hanging="108"/>
              <w:rPr>
                <w:sz w:val="20"/>
              </w:rPr>
            </w:pPr>
          </w:p>
        </w:tc>
        <w:tc>
          <w:tcPr>
            <w:tcW w:w="6030" w:type="dxa"/>
          </w:tcPr>
          <w:p w:rsidR="00952CF8" w:rsidRPr="00714B52" w:rsidRDefault="00952CF8" w:rsidP="00A1545F">
            <w:pPr>
              <w:pStyle w:val="BodyText"/>
              <w:tabs>
                <w:tab w:val="left" w:pos="720"/>
              </w:tabs>
              <w:ind w:right="-108" w:hanging="108"/>
              <w:rPr>
                <w:sz w:val="20"/>
              </w:rPr>
            </w:pPr>
            <w:r w:rsidRPr="00714B52">
              <w:rPr>
                <w:sz w:val="20"/>
              </w:rPr>
              <w:t>Not later than one year</w:t>
            </w:r>
          </w:p>
        </w:tc>
        <w:tc>
          <w:tcPr>
            <w:tcW w:w="1260" w:type="dxa"/>
          </w:tcPr>
          <w:p w:rsidR="00952CF8" w:rsidRPr="00714B52" w:rsidRDefault="00952CF8" w:rsidP="004E21B0">
            <w:pPr>
              <w:jc w:val="center"/>
            </w:pPr>
            <w:r w:rsidRPr="00714B52">
              <w:t xml:space="preserve">    3</w:t>
            </w:r>
            <w:r w:rsidR="004E21B0" w:rsidRPr="00714B52">
              <w:t>4</w:t>
            </w:r>
            <w:r w:rsidRPr="00714B52">
              <w:t>,</w:t>
            </w:r>
            <w:r w:rsidR="004E21B0" w:rsidRPr="00714B52">
              <w:t>845</w:t>
            </w:r>
          </w:p>
        </w:tc>
      </w:tr>
      <w:tr w:rsidR="00952CF8" w:rsidRPr="00714B52">
        <w:tc>
          <w:tcPr>
            <w:tcW w:w="360" w:type="dxa"/>
          </w:tcPr>
          <w:p w:rsidR="00952CF8" w:rsidRPr="00714B52" w:rsidRDefault="00952CF8" w:rsidP="00A1545F">
            <w:pPr>
              <w:pStyle w:val="BodyText"/>
              <w:tabs>
                <w:tab w:val="left" w:pos="720"/>
              </w:tabs>
              <w:ind w:right="-108" w:hanging="108"/>
              <w:rPr>
                <w:sz w:val="20"/>
              </w:rPr>
            </w:pPr>
          </w:p>
        </w:tc>
        <w:tc>
          <w:tcPr>
            <w:tcW w:w="6030" w:type="dxa"/>
          </w:tcPr>
          <w:p w:rsidR="00952CF8" w:rsidRPr="00714B52" w:rsidRDefault="00952CF8" w:rsidP="00A1545F">
            <w:pPr>
              <w:pStyle w:val="BodyText"/>
              <w:tabs>
                <w:tab w:val="left" w:pos="720"/>
              </w:tabs>
              <w:ind w:right="-108" w:hanging="108"/>
              <w:rPr>
                <w:sz w:val="20"/>
              </w:rPr>
            </w:pPr>
            <w:r w:rsidRPr="00714B52">
              <w:rPr>
                <w:sz w:val="20"/>
              </w:rPr>
              <w:t>Later than one year and not later than two years</w:t>
            </w:r>
          </w:p>
        </w:tc>
        <w:tc>
          <w:tcPr>
            <w:tcW w:w="1260" w:type="dxa"/>
          </w:tcPr>
          <w:p w:rsidR="00952CF8" w:rsidRPr="00714B52" w:rsidRDefault="00952CF8" w:rsidP="004E21B0">
            <w:pPr>
              <w:jc w:val="center"/>
            </w:pPr>
            <w:r w:rsidRPr="00714B52">
              <w:t xml:space="preserve">    1</w:t>
            </w:r>
            <w:r w:rsidR="004E21B0" w:rsidRPr="00714B52">
              <w:t>2</w:t>
            </w:r>
            <w:r w:rsidRPr="00714B52">
              <w:t>,</w:t>
            </w:r>
            <w:r w:rsidR="004E21B0" w:rsidRPr="00714B52">
              <w:t>439</w:t>
            </w:r>
          </w:p>
        </w:tc>
      </w:tr>
      <w:tr w:rsidR="00952CF8" w:rsidRPr="00714B52">
        <w:tc>
          <w:tcPr>
            <w:tcW w:w="360" w:type="dxa"/>
          </w:tcPr>
          <w:p w:rsidR="00952CF8" w:rsidRPr="00714B52" w:rsidRDefault="00952CF8" w:rsidP="00A1545F">
            <w:pPr>
              <w:pStyle w:val="BodyText"/>
              <w:tabs>
                <w:tab w:val="left" w:pos="720"/>
              </w:tabs>
              <w:ind w:right="-108" w:hanging="108"/>
              <w:rPr>
                <w:sz w:val="20"/>
              </w:rPr>
            </w:pPr>
          </w:p>
        </w:tc>
        <w:tc>
          <w:tcPr>
            <w:tcW w:w="6030" w:type="dxa"/>
          </w:tcPr>
          <w:p w:rsidR="00952CF8" w:rsidRPr="00714B52" w:rsidRDefault="00952CF8" w:rsidP="00A1545F">
            <w:pPr>
              <w:pStyle w:val="BodyText"/>
              <w:tabs>
                <w:tab w:val="left" w:pos="720"/>
              </w:tabs>
              <w:ind w:right="-108" w:hanging="108"/>
              <w:rPr>
                <w:sz w:val="20"/>
              </w:rPr>
            </w:pPr>
            <w:r w:rsidRPr="00714B52">
              <w:rPr>
                <w:sz w:val="20"/>
              </w:rPr>
              <w:t>Later than two years and not later than five years</w:t>
            </w:r>
          </w:p>
        </w:tc>
        <w:tc>
          <w:tcPr>
            <w:tcW w:w="1260" w:type="dxa"/>
          </w:tcPr>
          <w:p w:rsidR="00952CF8" w:rsidRPr="00714B52" w:rsidRDefault="00952CF8" w:rsidP="004E21B0">
            <w:pPr>
              <w:jc w:val="center"/>
            </w:pPr>
            <w:r w:rsidRPr="00714B52">
              <w:t xml:space="preserve">     </w:t>
            </w:r>
            <w:r w:rsidR="004E21B0" w:rsidRPr="00714B52">
              <w:t>7</w:t>
            </w:r>
            <w:r w:rsidRPr="00714B52">
              <w:t>,</w:t>
            </w:r>
            <w:r w:rsidR="004E21B0" w:rsidRPr="00714B52">
              <w:t>215</w:t>
            </w:r>
          </w:p>
        </w:tc>
      </w:tr>
      <w:tr w:rsidR="00952CF8" w:rsidRPr="00714B52" w:rsidTr="001244C6">
        <w:tc>
          <w:tcPr>
            <w:tcW w:w="360" w:type="dxa"/>
          </w:tcPr>
          <w:p w:rsidR="00952CF8" w:rsidRPr="00714B52" w:rsidRDefault="00952CF8" w:rsidP="00A1545F">
            <w:pPr>
              <w:pStyle w:val="BodyText"/>
              <w:tabs>
                <w:tab w:val="left" w:pos="720"/>
              </w:tabs>
              <w:ind w:right="-108" w:hanging="108"/>
              <w:rPr>
                <w:sz w:val="20"/>
              </w:rPr>
            </w:pPr>
          </w:p>
        </w:tc>
        <w:tc>
          <w:tcPr>
            <w:tcW w:w="6030" w:type="dxa"/>
          </w:tcPr>
          <w:p w:rsidR="00952CF8" w:rsidRPr="00714B52" w:rsidRDefault="00952CF8" w:rsidP="00A1545F">
            <w:pPr>
              <w:pStyle w:val="BodyText"/>
              <w:tabs>
                <w:tab w:val="left" w:pos="720"/>
              </w:tabs>
              <w:ind w:right="-108" w:hanging="108"/>
              <w:rPr>
                <w:sz w:val="20"/>
              </w:rPr>
            </w:pPr>
            <w:r w:rsidRPr="00714B52">
              <w:rPr>
                <w:sz w:val="20"/>
              </w:rPr>
              <w:t>Later than 5 years</w:t>
            </w:r>
          </w:p>
        </w:tc>
        <w:tc>
          <w:tcPr>
            <w:tcW w:w="1260" w:type="dxa"/>
            <w:tcBorders>
              <w:bottom w:val="single" w:sz="8" w:space="0" w:color="000000"/>
            </w:tcBorders>
          </w:tcPr>
          <w:p w:rsidR="00952CF8" w:rsidRPr="00714B52" w:rsidRDefault="00952CF8" w:rsidP="004E21B0">
            <w:pPr>
              <w:jc w:val="center"/>
            </w:pPr>
            <w:r w:rsidRPr="00714B52">
              <w:t xml:space="preserve">   </w:t>
            </w:r>
            <w:r w:rsidR="004E21B0" w:rsidRPr="00714B52">
              <w:t>54</w:t>
            </w:r>
            <w:r w:rsidRPr="00714B52">
              <w:t>,</w:t>
            </w:r>
            <w:r w:rsidR="004E21B0" w:rsidRPr="00714B52">
              <w:t>144</w:t>
            </w:r>
          </w:p>
        </w:tc>
      </w:tr>
      <w:tr w:rsidR="00952CF8" w:rsidTr="001244C6">
        <w:tc>
          <w:tcPr>
            <w:tcW w:w="360" w:type="dxa"/>
          </w:tcPr>
          <w:p w:rsidR="00952CF8" w:rsidRPr="00714B52" w:rsidRDefault="00952CF8" w:rsidP="00A1545F">
            <w:pPr>
              <w:pStyle w:val="BodyText"/>
              <w:tabs>
                <w:tab w:val="left" w:pos="720"/>
              </w:tabs>
              <w:ind w:right="-108" w:hanging="108"/>
              <w:rPr>
                <w:sz w:val="20"/>
              </w:rPr>
            </w:pPr>
          </w:p>
        </w:tc>
        <w:tc>
          <w:tcPr>
            <w:tcW w:w="6030" w:type="dxa"/>
          </w:tcPr>
          <w:p w:rsidR="00952CF8" w:rsidRPr="00714B52" w:rsidRDefault="00952CF8" w:rsidP="00A1545F">
            <w:pPr>
              <w:pStyle w:val="BodyText"/>
              <w:tabs>
                <w:tab w:val="left" w:pos="720"/>
              </w:tabs>
              <w:ind w:right="-108" w:hanging="108"/>
              <w:rPr>
                <w:sz w:val="20"/>
              </w:rPr>
            </w:pPr>
          </w:p>
        </w:tc>
        <w:tc>
          <w:tcPr>
            <w:tcW w:w="1260" w:type="dxa"/>
            <w:tcBorders>
              <w:top w:val="single" w:sz="8" w:space="0" w:color="000000"/>
              <w:bottom w:val="single" w:sz="12" w:space="0" w:color="000000"/>
            </w:tcBorders>
          </w:tcPr>
          <w:p w:rsidR="00952CF8" w:rsidRPr="00714B52" w:rsidRDefault="004E21B0" w:rsidP="00952CF8">
            <w:pPr>
              <w:jc w:val="center"/>
              <w:rPr>
                <w:b/>
              </w:rPr>
            </w:pPr>
            <w:r w:rsidRPr="00714B52">
              <w:rPr>
                <w:b/>
              </w:rPr>
              <w:t xml:space="preserve">  108,643</w:t>
            </w:r>
          </w:p>
        </w:tc>
      </w:tr>
    </w:tbl>
    <w:p w:rsidR="00A5081D" w:rsidRDefault="00A5081D" w:rsidP="00A1545F">
      <w:pPr>
        <w:pStyle w:val="BodyText"/>
        <w:tabs>
          <w:tab w:val="left" w:pos="720"/>
        </w:tabs>
        <w:ind w:left="720" w:right="-450" w:hanging="720"/>
        <w:rPr>
          <w:b/>
          <w:sz w:val="20"/>
        </w:rPr>
      </w:pPr>
    </w:p>
    <w:p w:rsidR="00A5081D" w:rsidRDefault="00A5081D" w:rsidP="00A1545F">
      <w:pPr>
        <w:pStyle w:val="BodyText"/>
        <w:tabs>
          <w:tab w:val="left" w:pos="720"/>
        </w:tabs>
        <w:ind w:left="720" w:right="-450" w:hanging="720"/>
        <w:rPr>
          <w:b/>
          <w:sz w:val="20"/>
        </w:rPr>
      </w:pPr>
    </w:p>
    <w:p w:rsidR="00F25806" w:rsidRDefault="00F25806" w:rsidP="00A1545F">
      <w:pPr>
        <w:pStyle w:val="BodyText"/>
        <w:tabs>
          <w:tab w:val="left" w:pos="720"/>
        </w:tabs>
        <w:ind w:left="720" w:right="-450" w:hanging="720"/>
        <w:rPr>
          <w:b/>
          <w:sz w:val="20"/>
        </w:rPr>
      </w:pPr>
    </w:p>
    <w:p w:rsidR="00F25806" w:rsidRDefault="00F25806" w:rsidP="00A1545F">
      <w:pPr>
        <w:pStyle w:val="BodyText"/>
        <w:tabs>
          <w:tab w:val="left" w:pos="720"/>
        </w:tabs>
        <w:ind w:left="720" w:right="-450" w:hanging="720"/>
        <w:rPr>
          <w:b/>
          <w:sz w:val="20"/>
        </w:rPr>
      </w:pPr>
    </w:p>
    <w:p w:rsidR="00F25806" w:rsidRDefault="00F25806" w:rsidP="00A1545F">
      <w:pPr>
        <w:pStyle w:val="BodyText"/>
        <w:tabs>
          <w:tab w:val="left" w:pos="720"/>
        </w:tabs>
        <w:ind w:left="720" w:right="-450" w:hanging="720"/>
        <w:rPr>
          <w:b/>
          <w:sz w:val="20"/>
        </w:rPr>
      </w:pPr>
    </w:p>
    <w:p w:rsidR="00F25806" w:rsidRDefault="00F25806" w:rsidP="00A1545F">
      <w:pPr>
        <w:pStyle w:val="BodyText"/>
        <w:tabs>
          <w:tab w:val="left" w:pos="720"/>
        </w:tabs>
        <w:ind w:left="720" w:right="-450" w:hanging="720"/>
        <w:rPr>
          <w:b/>
          <w:sz w:val="20"/>
        </w:rPr>
      </w:pPr>
    </w:p>
    <w:p w:rsidR="00F25806" w:rsidRDefault="00F25806" w:rsidP="00A1545F">
      <w:pPr>
        <w:pStyle w:val="BodyText"/>
        <w:tabs>
          <w:tab w:val="left" w:pos="720"/>
        </w:tabs>
        <w:ind w:left="720" w:right="-450" w:hanging="720"/>
        <w:rPr>
          <w:b/>
          <w:sz w:val="20"/>
        </w:rPr>
      </w:pPr>
    </w:p>
    <w:p w:rsidR="0059386B" w:rsidRPr="00B01512" w:rsidRDefault="004E2D91" w:rsidP="00A1545F">
      <w:pPr>
        <w:pStyle w:val="BodyText"/>
        <w:tabs>
          <w:tab w:val="left" w:pos="720"/>
        </w:tabs>
        <w:ind w:left="720" w:right="-450" w:hanging="720"/>
        <w:rPr>
          <w:b/>
          <w:sz w:val="20"/>
        </w:rPr>
      </w:pPr>
      <w:r w:rsidRPr="00764F09">
        <w:rPr>
          <w:b/>
          <w:sz w:val="20"/>
        </w:rPr>
        <w:t>A</w:t>
      </w:r>
      <w:r w:rsidR="0059386B" w:rsidRPr="00764F09">
        <w:rPr>
          <w:b/>
          <w:sz w:val="20"/>
        </w:rPr>
        <w:t>1</w:t>
      </w:r>
      <w:r w:rsidR="00EE0622">
        <w:rPr>
          <w:b/>
          <w:sz w:val="20"/>
        </w:rPr>
        <w:t>5</w:t>
      </w:r>
      <w:r w:rsidR="0059386B" w:rsidRPr="00B01512">
        <w:rPr>
          <w:sz w:val="20"/>
        </w:rPr>
        <w:tab/>
      </w:r>
      <w:r w:rsidR="0059386B" w:rsidRPr="00B01512">
        <w:rPr>
          <w:b/>
          <w:sz w:val="20"/>
        </w:rPr>
        <w:t>Contingent liabilities</w:t>
      </w:r>
      <w:r w:rsidR="00F95C49" w:rsidRPr="00B01512">
        <w:rPr>
          <w:b/>
          <w:sz w:val="20"/>
        </w:rPr>
        <w:t xml:space="preserve"> </w:t>
      </w:r>
    </w:p>
    <w:p w:rsidR="0059386B" w:rsidRPr="00B01512" w:rsidRDefault="0059386B" w:rsidP="00491580">
      <w:pPr>
        <w:pStyle w:val="BodyText"/>
        <w:tabs>
          <w:tab w:val="left" w:pos="720"/>
        </w:tabs>
        <w:ind w:left="720" w:right="-450" w:hanging="1800"/>
        <w:rPr>
          <w:sz w:val="20"/>
        </w:rPr>
      </w:pPr>
      <w:r w:rsidRPr="00B01512">
        <w:rPr>
          <w:sz w:val="20"/>
        </w:rPr>
        <w:tab/>
      </w:r>
    </w:p>
    <w:p w:rsidR="0059386B" w:rsidRPr="00B01512" w:rsidRDefault="003F41FF" w:rsidP="00491580">
      <w:pPr>
        <w:pStyle w:val="BodyText"/>
        <w:tabs>
          <w:tab w:val="left" w:pos="720"/>
        </w:tabs>
        <w:ind w:left="720" w:right="-450" w:hanging="1800"/>
        <w:rPr>
          <w:sz w:val="20"/>
        </w:rPr>
      </w:pPr>
      <w:r w:rsidRPr="00B01512">
        <w:rPr>
          <w:sz w:val="20"/>
        </w:rPr>
        <w:tab/>
        <w:t xml:space="preserve">The </w:t>
      </w:r>
      <w:r w:rsidR="009B465D" w:rsidRPr="00B01512">
        <w:rPr>
          <w:sz w:val="20"/>
        </w:rPr>
        <w:t>contingent liabilities as at 3</w:t>
      </w:r>
      <w:r w:rsidR="00354D0A">
        <w:rPr>
          <w:sz w:val="20"/>
        </w:rPr>
        <w:t>0</w:t>
      </w:r>
      <w:r w:rsidR="00212EE0" w:rsidRPr="00B01512">
        <w:rPr>
          <w:sz w:val="20"/>
        </w:rPr>
        <w:t xml:space="preserve"> </w:t>
      </w:r>
      <w:r w:rsidR="00354D0A">
        <w:rPr>
          <w:sz w:val="20"/>
        </w:rPr>
        <w:t>June</w:t>
      </w:r>
      <w:r w:rsidR="006C03E5">
        <w:rPr>
          <w:sz w:val="20"/>
        </w:rPr>
        <w:t xml:space="preserve"> 2012</w:t>
      </w:r>
      <w:r w:rsidRPr="00B01512">
        <w:rPr>
          <w:sz w:val="20"/>
        </w:rPr>
        <w:t xml:space="preserve"> were:-</w:t>
      </w:r>
    </w:p>
    <w:tbl>
      <w:tblPr>
        <w:tblW w:w="0" w:type="auto"/>
        <w:tblInd w:w="828" w:type="dxa"/>
        <w:tblLayout w:type="fixed"/>
        <w:tblLook w:val="0000"/>
      </w:tblPr>
      <w:tblGrid>
        <w:gridCol w:w="360"/>
        <w:gridCol w:w="6030"/>
        <w:gridCol w:w="1260"/>
      </w:tblGrid>
      <w:tr w:rsidR="00A1545F" w:rsidRPr="00B01512">
        <w:tc>
          <w:tcPr>
            <w:tcW w:w="360" w:type="dxa"/>
          </w:tcPr>
          <w:p w:rsidR="00A1545F" w:rsidRPr="00B01512" w:rsidRDefault="00A1545F" w:rsidP="00491580">
            <w:pPr>
              <w:pStyle w:val="BodyText"/>
              <w:tabs>
                <w:tab w:val="left" w:pos="720"/>
              </w:tabs>
              <w:ind w:left="-108" w:right="-450" w:hanging="1800"/>
              <w:rPr>
                <w:sz w:val="20"/>
              </w:rPr>
            </w:pPr>
          </w:p>
        </w:tc>
        <w:tc>
          <w:tcPr>
            <w:tcW w:w="6030" w:type="dxa"/>
          </w:tcPr>
          <w:p w:rsidR="00A1545F" w:rsidRPr="00B01512" w:rsidRDefault="00A1545F" w:rsidP="00491580">
            <w:pPr>
              <w:pStyle w:val="BodyText"/>
              <w:tabs>
                <w:tab w:val="left" w:pos="720"/>
              </w:tabs>
              <w:ind w:left="-108" w:right="-450" w:hanging="1800"/>
              <w:rPr>
                <w:sz w:val="20"/>
              </w:rPr>
            </w:pPr>
          </w:p>
        </w:tc>
        <w:tc>
          <w:tcPr>
            <w:tcW w:w="1260" w:type="dxa"/>
          </w:tcPr>
          <w:p w:rsidR="00A1545F" w:rsidRPr="00B01512" w:rsidRDefault="00A1545F" w:rsidP="00A1545F">
            <w:pPr>
              <w:pStyle w:val="BodyText"/>
              <w:tabs>
                <w:tab w:val="left" w:pos="720"/>
              </w:tabs>
              <w:ind w:left="-108" w:hanging="108"/>
              <w:jc w:val="center"/>
              <w:rPr>
                <w:sz w:val="20"/>
              </w:rPr>
            </w:pPr>
            <w:r w:rsidRPr="00B01512">
              <w:rPr>
                <w:b/>
                <w:sz w:val="20"/>
              </w:rPr>
              <w:t xml:space="preserve">       RM’000</w:t>
            </w:r>
          </w:p>
        </w:tc>
      </w:tr>
      <w:tr w:rsidR="00A1545F" w:rsidRPr="00B01512">
        <w:tc>
          <w:tcPr>
            <w:tcW w:w="360" w:type="dxa"/>
          </w:tcPr>
          <w:p w:rsidR="00A1545F" w:rsidRPr="00B01512" w:rsidRDefault="00A1545F" w:rsidP="00A1545F">
            <w:pPr>
              <w:pStyle w:val="BodyText"/>
              <w:tabs>
                <w:tab w:val="left" w:pos="720"/>
              </w:tabs>
              <w:ind w:left="-108" w:right="-450"/>
              <w:rPr>
                <w:sz w:val="20"/>
              </w:rPr>
            </w:pPr>
            <w:r w:rsidRPr="00B01512">
              <w:rPr>
                <w:sz w:val="20"/>
              </w:rPr>
              <w:t xml:space="preserve">  a)</w:t>
            </w:r>
          </w:p>
        </w:tc>
        <w:tc>
          <w:tcPr>
            <w:tcW w:w="6030" w:type="dxa"/>
          </w:tcPr>
          <w:p w:rsidR="00A1545F" w:rsidRPr="00A10A3F" w:rsidRDefault="00A1545F" w:rsidP="00A1545F">
            <w:pPr>
              <w:pStyle w:val="BodyText"/>
              <w:tabs>
                <w:tab w:val="left" w:pos="720"/>
              </w:tabs>
              <w:ind w:left="-108" w:right="-450"/>
              <w:rPr>
                <w:sz w:val="20"/>
              </w:rPr>
            </w:pPr>
            <w:r w:rsidRPr="00A10A3F">
              <w:rPr>
                <w:sz w:val="20"/>
              </w:rPr>
              <w:t xml:space="preserve">  Guarantees extended in support of banking and other credit facilities</w:t>
            </w:r>
          </w:p>
          <w:p w:rsidR="00A1545F" w:rsidRPr="00A10A3F" w:rsidRDefault="00A1545F" w:rsidP="008B60B4">
            <w:pPr>
              <w:pStyle w:val="BodyText"/>
              <w:tabs>
                <w:tab w:val="left" w:pos="720"/>
              </w:tabs>
              <w:ind w:left="-108" w:right="-450"/>
              <w:rPr>
                <w:sz w:val="20"/>
              </w:rPr>
            </w:pPr>
            <w:r w:rsidRPr="00A10A3F">
              <w:rPr>
                <w:sz w:val="20"/>
              </w:rPr>
              <w:t xml:space="preserve">  granted to</w:t>
            </w:r>
            <w:r w:rsidR="008B60B4" w:rsidRPr="00A10A3F">
              <w:rPr>
                <w:sz w:val="20"/>
              </w:rPr>
              <w:t xml:space="preserve"> an associate – (secured)</w:t>
            </w:r>
          </w:p>
        </w:tc>
        <w:tc>
          <w:tcPr>
            <w:tcW w:w="1260" w:type="dxa"/>
          </w:tcPr>
          <w:p w:rsidR="00A1545F" w:rsidRPr="00A10A3F" w:rsidRDefault="008B60B4" w:rsidP="00A1545F">
            <w:pPr>
              <w:pStyle w:val="BodyText"/>
              <w:tabs>
                <w:tab w:val="left" w:pos="720"/>
              </w:tabs>
              <w:ind w:right="-108" w:hanging="108"/>
              <w:rPr>
                <w:sz w:val="20"/>
              </w:rPr>
            </w:pPr>
            <w:r w:rsidRPr="00A10A3F">
              <w:rPr>
                <w:sz w:val="20"/>
              </w:rPr>
              <w:t xml:space="preserve">     </w:t>
            </w:r>
          </w:p>
          <w:p w:rsidR="008B60B4" w:rsidRPr="00A10A3F" w:rsidRDefault="008B60B4" w:rsidP="00354D0A">
            <w:pPr>
              <w:pStyle w:val="BodyText"/>
              <w:tabs>
                <w:tab w:val="left" w:pos="720"/>
              </w:tabs>
              <w:ind w:right="-108" w:hanging="108"/>
              <w:rPr>
                <w:sz w:val="20"/>
              </w:rPr>
            </w:pPr>
            <w:r w:rsidRPr="00A10A3F">
              <w:rPr>
                <w:sz w:val="20"/>
              </w:rPr>
              <w:t xml:space="preserve">         2,</w:t>
            </w:r>
            <w:r w:rsidR="00354D0A">
              <w:rPr>
                <w:sz w:val="20"/>
              </w:rPr>
              <w:t>099</w:t>
            </w:r>
          </w:p>
        </w:tc>
      </w:tr>
      <w:tr w:rsidR="00A1545F" w:rsidRP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A10A3F" w:rsidRDefault="00A1545F" w:rsidP="00A1545F">
            <w:pPr>
              <w:pStyle w:val="BodyText"/>
              <w:tabs>
                <w:tab w:val="left" w:pos="720"/>
              </w:tabs>
              <w:ind w:right="-450"/>
              <w:rPr>
                <w:sz w:val="20"/>
              </w:rPr>
            </w:pPr>
          </w:p>
        </w:tc>
        <w:tc>
          <w:tcPr>
            <w:tcW w:w="1260" w:type="dxa"/>
          </w:tcPr>
          <w:p w:rsidR="00A1545F" w:rsidRPr="00A10A3F" w:rsidRDefault="00A1545F" w:rsidP="00A1545F">
            <w:pPr>
              <w:pStyle w:val="BodyText"/>
              <w:tabs>
                <w:tab w:val="left" w:pos="720"/>
              </w:tabs>
              <w:ind w:left="-108" w:right="-108"/>
              <w:jc w:val="center"/>
              <w:rPr>
                <w:sz w:val="20"/>
              </w:rPr>
            </w:pPr>
          </w:p>
        </w:tc>
      </w:tr>
      <w:tr w:rsidR="00A1545F" w:rsidRPr="00B01512" w:rsidTr="00B01512">
        <w:tc>
          <w:tcPr>
            <w:tcW w:w="360" w:type="dxa"/>
          </w:tcPr>
          <w:p w:rsidR="00A1545F" w:rsidRPr="00B01512" w:rsidRDefault="00A1545F" w:rsidP="00A1545F">
            <w:pPr>
              <w:pStyle w:val="BodyText"/>
              <w:tabs>
                <w:tab w:val="left" w:pos="720"/>
              </w:tabs>
              <w:ind w:right="-450"/>
              <w:rPr>
                <w:sz w:val="20"/>
              </w:rPr>
            </w:pPr>
            <w:r w:rsidRPr="00B01512">
              <w:rPr>
                <w:sz w:val="20"/>
              </w:rPr>
              <w:t>b)</w:t>
            </w:r>
          </w:p>
        </w:tc>
        <w:tc>
          <w:tcPr>
            <w:tcW w:w="6030" w:type="dxa"/>
          </w:tcPr>
          <w:p w:rsidR="00A1545F" w:rsidRPr="00A10A3F" w:rsidRDefault="00A1545F" w:rsidP="00A1545F">
            <w:pPr>
              <w:pStyle w:val="BodyText"/>
              <w:tabs>
                <w:tab w:val="left" w:pos="720"/>
              </w:tabs>
              <w:ind w:right="-450"/>
              <w:rPr>
                <w:sz w:val="20"/>
              </w:rPr>
            </w:pPr>
            <w:r w:rsidRPr="00A10A3F">
              <w:rPr>
                <w:sz w:val="20"/>
              </w:rPr>
              <w:t>Others – unsecured</w:t>
            </w:r>
          </w:p>
        </w:tc>
        <w:tc>
          <w:tcPr>
            <w:tcW w:w="1260" w:type="dxa"/>
            <w:tcBorders>
              <w:bottom w:val="single" w:sz="8" w:space="0" w:color="000000"/>
            </w:tcBorders>
          </w:tcPr>
          <w:p w:rsidR="00A1545F" w:rsidRPr="00A10A3F" w:rsidRDefault="000F64CD" w:rsidP="00354D0A">
            <w:pPr>
              <w:pStyle w:val="BodyText"/>
              <w:tabs>
                <w:tab w:val="left" w:pos="720"/>
              </w:tabs>
              <w:ind w:left="-108" w:right="-108"/>
              <w:jc w:val="center"/>
              <w:rPr>
                <w:sz w:val="20"/>
              </w:rPr>
            </w:pPr>
            <w:r w:rsidRPr="00A10A3F">
              <w:rPr>
                <w:sz w:val="20"/>
              </w:rPr>
              <w:t xml:space="preserve">   </w:t>
            </w:r>
            <w:r w:rsidR="00354D0A">
              <w:rPr>
                <w:sz w:val="20"/>
              </w:rPr>
              <w:t>6,022</w:t>
            </w:r>
          </w:p>
        </w:tc>
      </w:tr>
      <w:tr w:rsidR="00A1545F" w:rsidT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A10A3F" w:rsidRDefault="00A1545F" w:rsidP="00A1545F">
            <w:pPr>
              <w:pStyle w:val="BodyText"/>
              <w:tabs>
                <w:tab w:val="left" w:pos="720"/>
              </w:tabs>
              <w:ind w:right="-450"/>
              <w:rPr>
                <w:sz w:val="20"/>
              </w:rPr>
            </w:pPr>
          </w:p>
        </w:tc>
        <w:tc>
          <w:tcPr>
            <w:tcW w:w="1260" w:type="dxa"/>
            <w:tcBorders>
              <w:top w:val="single" w:sz="8" w:space="0" w:color="000000"/>
              <w:bottom w:val="single" w:sz="12" w:space="0" w:color="000000"/>
            </w:tcBorders>
          </w:tcPr>
          <w:p w:rsidR="00A1545F" w:rsidRPr="00A10A3F" w:rsidRDefault="00F95C49" w:rsidP="006C03E5">
            <w:pPr>
              <w:pStyle w:val="BodyText"/>
              <w:tabs>
                <w:tab w:val="left" w:pos="720"/>
              </w:tabs>
              <w:ind w:left="-108" w:right="-108"/>
              <w:rPr>
                <w:b/>
                <w:sz w:val="20"/>
              </w:rPr>
            </w:pPr>
            <w:r w:rsidRPr="00A10A3F">
              <w:rPr>
                <w:b/>
                <w:sz w:val="20"/>
              </w:rPr>
              <w:t xml:space="preserve"> </w:t>
            </w:r>
            <w:r w:rsidR="006F4DCA" w:rsidRPr="00A10A3F">
              <w:rPr>
                <w:b/>
                <w:sz w:val="20"/>
              </w:rPr>
              <w:t xml:space="preserve">   </w:t>
            </w:r>
            <w:r w:rsidR="00A1545F" w:rsidRPr="00A10A3F">
              <w:rPr>
                <w:b/>
                <w:sz w:val="20"/>
              </w:rPr>
              <w:t xml:space="preserve">  </w:t>
            </w:r>
            <w:r w:rsidR="009048C7" w:rsidRPr="00A10A3F">
              <w:rPr>
                <w:b/>
                <w:sz w:val="20"/>
              </w:rPr>
              <w:t xml:space="preserve"> </w:t>
            </w:r>
            <w:r w:rsidR="00A1545F" w:rsidRPr="00A10A3F">
              <w:rPr>
                <w:b/>
                <w:sz w:val="20"/>
              </w:rPr>
              <w:t xml:space="preserve">  </w:t>
            </w:r>
            <w:r w:rsidR="006C03E5" w:rsidRPr="00A10A3F">
              <w:rPr>
                <w:b/>
                <w:sz w:val="20"/>
              </w:rPr>
              <w:t>8,</w:t>
            </w:r>
            <w:r w:rsidR="00354D0A">
              <w:rPr>
                <w:b/>
                <w:sz w:val="20"/>
              </w:rPr>
              <w:t>121</w:t>
            </w:r>
          </w:p>
        </w:tc>
      </w:tr>
    </w:tbl>
    <w:p w:rsidR="00261975" w:rsidRDefault="00261975" w:rsidP="00A1545F">
      <w:pPr>
        <w:pStyle w:val="BodyText"/>
        <w:tabs>
          <w:tab w:val="left" w:pos="0"/>
        </w:tabs>
        <w:rPr>
          <w:b/>
          <w:sz w:val="20"/>
        </w:rPr>
      </w:pPr>
    </w:p>
    <w:p w:rsidR="00BD2727" w:rsidRDefault="00BD2727"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F25806" w:rsidRDefault="00F25806" w:rsidP="00A1545F">
      <w:pPr>
        <w:pStyle w:val="BodyText"/>
        <w:tabs>
          <w:tab w:val="left" w:pos="0"/>
        </w:tabs>
        <w:rPr>
          <w:b/>
          <w:sz w:val="20"/>
        </w:rPr>
      </w:pPr>
    </w:p>
    <w:p w:rsidR="0059386B" w:rsidRDefault="007A2640" w:rsidP="00A1545F">
      <w:pPr>
        <w:pStyle w:val="BodyText"/>
        <w:tabs>
          <w:tab w:val="left" w:pos="0"/>
        </w:tabs>
        <w:rPr>
          <w:b/>
          <w:sz w:val="20"/>
        </w:rPr>
      </w:pPr>
      <w:r>
        <w:rPr>
          <w:b/>
          <w:sz w:val="20"/>
        </w:rPr>
        <w:t xml:space="preserve">PART B - </w:t>
      </w:r>
      <w:r w:rsidR="0059386B">
        <w:rPr>
          <w:b/>
          <w:sz w:val="20"/>
        </w:rPr>
        <w:t xml:space="preserve">EXPLANATORY NOTES PURSUANT TO APPENDIX 9B OF THE </w:t>
      </w:r>
      <w:r w:rsidR="001206AD">
        <w:rPr>
          <w:b/>
          <w:sz w:val="20"/>
        </w:rPr>
        <w:t xml:space="preserve">MAIN MARKET </w:t>
      </w:r>
      <w:r w:rsidR="0059386B">
        <w:rPr>
          <w:b/>
          <w:sz w:val="20"/>
        </w:rPr>
        <w:t>LISTING REQUIREMENTS OF BURSA MALAYSIA SECURITIES BERHAD</w:t>
      </w:r>
    </w:p>
    <w:p w:rsidR="0059386B" w:rsidRDefault="0059386B" w:rsidP="00491580">
      <w:pPr>
        <w:pStyle w:val="BodyText"/>
        <w:tabs>
          <w:tab w:val="left" w:pos="0"/>
        </w:tabs>
        <w:ind w:right="-450" w:hanging="1800"/>
        <w:rPr>
          <w:b/>
          <w:sz w:val="20"/>
        </w:rPr>
      </w:pPr>
    </w:p>
    <w:p w:rsidR="00EF5575" w:rsidRPr="0006542C" w:rsidRDefault="00EF5575" w:rsidP="00EF5575">
      <w:pPr>
        <w:pStyle w:val="BodyText"/>
        <w:tabs>
          <w:tab w:val="left" w:pos="0"/>
        </w:tabs>
        <w:ind w:left="720" w:right="-450" w:hanging="720"/>
        <w:rPr>
          <w:b/>
          <w:sz w:val="20"/>
        </w:rPr>
      </w:pPr>
      <w:r w:rsidRPr="00764F09">
        <w:rPr>
          <w:b/>
          <w:sz w:val="20"/>
        </w:rPr>
        <w:t>B1</w:t>
      </w:r>
      <w:r w:rsidRPr="0006542C">
        <w:rPr>
          <w:sz w:val="20"/>
        </w:rPr>
        <w:tab/>
      </w:r>
      <w:r w:rsidRPr="0006542C">
        <w:rPr>
          <w:b/>
          <w:sz w:val="20"/>
        </w:rPr>
        <w:t>Review of performance</w:t>
      </w:r>
    </w:p>
    <w:p w:rsidR="00EF5575" w:rsidRPr="0006542C" w:rsidRDefault="00EF5575" w:rsidP="00EF5575">
      <w:pPr>
        <w:pStyle w:val="BodyText"/>
        <w:tabs>
          <w:tab w:val="left" w:pos="0"/>
        </w:tabs>
        <w:ind w:left="720" w:right="-450" w:hanging="1800"/>
        <w:rPr>
          <w:sz w:val="20"/>
        </w:rPr>
      </w:pPr>
    </w:p>
    <w:p w:rsidR="0049537E" w:rsidRPr="00886B1F" w:rsidRDefault="0049537E" w:rsidP="0049537E">
      <w:pPr>
        <w:tabs>
          <w:tab w:val="left" w:pos="720"/>
        </w:tabs>
        <w:jc w:val="both"/>
        <w:rPr>
          <w:u w:val="single"/>
        </w:rPr>
      </w:pPr>
      <w:r w:rsidRPr="0049537E">
        <w:tab/>
      </w:r>
      <w:r w:rsidRPr="00886B1F">
        <w:rPr>
          <w:u w:val="single"/>
        </w:rPr>
        <w:t>Quarter ended 30 June 2012</w:t>
      </w:r>
    </w:p>
    <w:p w:rsidR="0049537E" w:rsidRDefault="0049537E" w:rsidP="0049537E">
      <w:pPr>
        <w:pStyle w:val="ListParagraph"/>
        <w:tabs>
          <w:tab w:val="left" w:pos="2880"/>
        </w:tabs>
        <w:ind w:left="1080"/>
        <w:jc w:val="both"/>
      </w:pPr>
      <w:r>
        <w:tab/>
      </w:r>
      <w:r>
        <w:tab/>
      </w:r>
      <w:r>
        <w:tab/>
      </w:r>
    </w:p>
    <w:tbl>
      <w:tblPr>
        <w:tblStyle w:val="TableGrid"/>
        <w:tblW w:w="0" w:type="auto"/>
        <w:tblInd w:w="828" w:type="dxa"/>
        <w:tblLook w:val="04A0"/>
      </w:tblPr>
      <w:tblGrid>
        <w:gridCol w:w="3690"/>
        <w:gridCol w:w="1350"/>
        <w:gridCol w:w="1260"/>
        <w:gridCol w:w="1080"/>
        <w:gridCol w:w="1368"/>
      </w:tblGrid>
      <w:tr w:rsidR="0049537E" w:rsidTr="008F1B84">
        <w:tc>
          <w:tcPr>
            <w:tcW w:w="3690" w:type="dxa"/>
          </w:tcPr>
          <w:p w:rsidR="0049537E" w:rsidRPr="000B399D" w:rsidRDefault="0049537E" w:rsidP="0049537E">
            <w:pPr>
              <w:pStyle w:val="ListParagraph"/>
              <w:numPr>
                <w:ilvl w:val="0"/>
                <w:numId w:val="28"/>
              </w:numPr>
              <w:tabs>
                <w:tab w:val="left" w:pos="2880"/>
              </w:tabs>
              <w:jc w:val="both"/>
              <w:rPr>
                <w:b/>
              </w:rPr>
            </w:pPr>
            <w:r w:rsidRPr="000B399D">
              <w:rPr>
                <w:b/>
              </w:rPr>
              <w:t>Revenue</w:t>
            </w:r>
          </w:p>
        </w:tc>
        <w:tc>
          <w:tcPr>
            <w:tcW w:w="1350" w:type="dxa"/>
          </w:tcPr>
          <w:p w:rsidR="0049537E" w:rsidRDefault="0049537E" w:rsidP="008F1B84">
            <w:pPr>
              <w:tabs>
                <w:tab w:val="left" w:pos="2880"/>
              </w:tabs>
              <w:jc w:val="center"/>
            </w:pPr>
            <w:r>
              <w:t>Q2 2012</w:t>
            </w:r>
          </w:p>
        </w:tc>
        <w:tc>
          <w:tcPr>
            <w:tcW w:w="1260" w:type="dxa"/>
          </w:tcPr>
          <w:p w:rsidR="0049537E" w:rsidRDefault="0049537E" w:rsidP="008F1B84">
            <w:pPr>
              <w:tabs>
                <w:tab w:val="left" w:pos="2880"/>
              </w:tabs>
              <w:jc w:val="center"/>
            </w:pPr>
            <w:r>
              <w:t>Q2 2011</w:t>
            </w:r>
          </w:p>
        </w:tc>
        <w:tc>
          <w:tcPr>
            <w:tcW w:w="2448" w:type="dxa"/>
            <w:gridSpan w:val="2"/>
          </w:tcPr>
          <w:p w:rsidR="0049537E" w:rsidRDefault="0049537E" w:rsidP="008F1B84">
            <w:pPr>
              <w:tabs>
                <w:tab w:val="left" w:pos="2880"/>
              </w:tabs>
              <w:jc w:val="center"/>
            </w:pPr>
            <w:r>
              <w:t xml:space="preserve">Increase </w:t>
            </w:r>
          </w:p>
        </w:tc>
      </w:tr>
      <w:tr w:rsidR="0049537E" w:rsidTr="008F1B84">
        <w:tc>
          <w:tcPr>
            <w:tcW w:w="3690" w:type="dxa"/>
          </w:tcPr>
          <w:p w:rsidR="0049537E" w:rsidRDefault="0049537E" w:rsidP="008F1B84">
            <w:pPr>
              <w:tabs>
                <w:tab w:val="left" w:pos="2880"/>
              </w:tabs>
              <w:jc w:val="both"/>
            </w:pPr>
          </w:p>
        </w:tc>
        <w:tc>
          <w:tcPr>
            <w:tcW w:w="1350" w:type="dxa"/>
          </w:tcPr>
          <w:p w:rsidR="0049537E" w:rsidRDefault="0049537E" w:rsidP="008F1B84">
            <w:pPr>
              <w:tabs>
                <w:tab w:val="left" w:pos="2880"/>
              </w:tabs>
              <w:jc w:val="center"/>
            </w:pPr>
            <w:proofErr w:type="spellStart"/>
            <w:r>
              <w:t>RM’mil</w:t>
            </w:r>
            <w:proofErr w:type="spellEnd"/>
          </w:p>
        </w:tc>
        <w:tc>
          <w:tcPr>
            <w:tcW w:w="1260" w:type="dxa"/>
          </w:tcPr>
          <w:p w:rsidR="0049537E" w:rsidRDefault="0049537E" w:rsidP="008F1B84">
            <w:pPr>
              <w:tabs>
                <w:tab w:val="left" w:pos="2880"/>
              </w:tabs>
              <w:jc w:val="center"/>
            </w:pPr>
            <w:proofErr w:type="spellStart"/>
            <w:r>
              <w:t>RM’mil</w:t>
            </w:r>
            <w:proofErr w:type="spellEnd"/>
          </w:p>
        </w:tc>
        <w:tc>
          <w:tcPr>
            <w:tcW w:w="1080" w:type="dxa"/>
          </w:tcPr>
          <w:p w:rsidR="0049537E" w:rsidRDefault="0049537E" w:rsidP="008F1B84">
            <w:pPr>
              <w:tabs>
                <w:tab w:val="left" w:pos="2880"/>
              </w:tabs>
              <w:jc w:val="center"/>
            </w:pPr>
            <w:proofErr w:type="spellStart"/>
            <w:r>
              <w:t>RM’mil</w:t>
            </w:r>
            <w:proofErr w:type="spellEnd"/>
          </w:p>
        </w:tc>
        <w:tc>
          <w:tcPr>
            <w:tcW w:w="1368" w:type="dxa"/>
          </w:tcPr>
          <w:p w:rsidR="0049537E" w:rsidRDefault="0049537E" w:rsidP="008F1B84">
            <w:pPr>
              <w:tabs>
                <w:tab w:val="left" w:pos="2880"/>
              </w:tabs>
              <w:jc w:val="center"/>
            </w:pPr>
            <w:r>
              <w:t>%</w:t>
            </w:r>
          </w:p>
        </w:tc>
      </w:tr>
      <w:tr w:rsidR="0049537E" w:rsidTr="008F1B84">
        <w:tc>
          <w:tcPr>
            <w:tcW w:w="3690" w:type="dxa"/>
          </w:tcPr>
          <w:p w:rsidR="0049537E" w:rsidRDefault="0049537E" w:rsidP="008F1B84">
            <w:pPr>
              <w:tabs>
                <w:tab w:val="left" w:pos="2880"/>
              </w:tabs>
              <w:jc w:val="both"/>
            </w:pPr>
            <w:r>
              <w:t>Continuing operations</w:t>
            </w:r>
          </w:p>
        </w:tc>
        <w:tc>
          <w:tcPr>
            <w:tcW w:w="1350" w:type="dxa"/>
          </w:tcPr>
          <w:p w:rsidR="0049537E" w:rsidRDefault="0049537E" w:rsidP="008F1B84">
            <w:pPr>
              <w:tabs>
                <w:tab w:val="left" w:pos="2880"/>
              </w:tabs>
              <w:jc w:val="right"/>
            </w:pPr>
            <w:r>
              <w:t>639.76</w:t>
            </w:r>
          </w:p>
        </w:tc>
        <w:tc>
          <w:tcPr>
            <w:tcW w:w="1260" w:type="dxa"/>
          </w:tcPr>
          <w:p w:rsidR="0049537E" w:rsidRDefault="0049537E" w:rsidP="008F1B84">
            <w:pPr>
              <w:tabs>
                <w:tab w:val="left" w:pos="2880"/>
              </w:tabs>
              <w:jc w:val="right"/>
            </w:pPr>
            <w:r>
              <w:t>501.45</w:t>
            </w:r>
          </w:p>
        </w:tc>
        <w:tc>
          <w:tcPr>
            <w:tcW w:w="1080" w:type="dxa"/>
          </w:tcPr>
          <w:p w:rsidR="0049537E" w:rsidRDefault="0049537E" w:rsidP="008F1B84">
            <w:pPr>
              <w:tabs>
                <w:tab w:val="left" w:pos="2880"/>
              </w:tabs>
              <w:jc w:val="right"/>
            </w:pPr>
            <w:r>
              <w:t>138.31</w:t>
            </w:r>
          </w:p>
        </w:tc>
        <w:tc>
          <w:tcPr>
            <w:tcW w:w="1368" w:type="dxa"/>
          </w:tcPr>
          <w:p w:rsidR="0049537E" w:rsidRDefault="0049537E" w:rsidP="008F1B84">
            <w:pPr>
              <w:tabs>
                <w:tab w:val="left" w:pos="2880"/>
              </w:tabs>
              <w:jc w:val="center"/>
            </w:pPr>
            <w:r>
              <w:t>28</w:t>
            </w:r>
          </w:p>
        </w:tc>
      </w:tr>
      <w:tr w:rsidR="0049537E" w:rsidTr="008F1B84">
        <w:tc>
          <w:tcPr>
            <w:tcW w:w="3690" w:type="dxa"/>
          </w:tcPr>
          <w:p w:rsidR="0049537E" w:rsidRDefault="0049537E" w:rsidP="008F1B84">
            <w:pPr>
              <w:tabs>
                <w:tab w:val="left" w:pos="2880"/>
              </w:tabs>
              <w:jc w:val="both"/>
            </w:pPr>
            <w:r>
              <w:t>Discontinued operation</w:t>
            </w:r>
          </w:p>
        </w:tc>
        <w:tc>
          <w:tcPr>
            <w:tcW w:w="1350" w:type="dxa"/>
          </w:tcPr>
          <w:p w:rsidR="0049537E" w:rsidRDefault="0049537E" w:rsidP="008F1B84">
            <w:pPr>
              <w:tabs>
                <w:tab w:val="left" w:pos="2880"/>
              </w:tabs>
              <w:jc w:val="right"/>
            </w:pPr>
            <w:r>
              <w:t>61.33</w:t>
            </w:r>
          </w:p>
        </w:tc>
        <w:tc>
          <w:tcPr>
            <w:tcW w:w="1260" w:type="dxa"/>
          </w:tcPr>
          <w:p w:rsidR="0049537E" w:rsidRDefault="0049537E" w:rsidP="008F1B84">
            <w:pPr>
              <w:tabs>
                <w:tab w:val="left" w:pos="2880"/>
              </w:tabs>
              <w:jc w:val="right"/>
            </w:pPr>
            <w:r>
              <w:t>59.12</w:t>
            </w:r>
          </w:p>
        </w:tc>
        <w:tc>
          <w:tcPr>
            <w:tcW w:w="1080" w:type="dxa"/>
          </w:tcPr>
          <w:p w:rsidR="0049537E" w:rsidRDefault="0049537E" w:rsidP="008F1B84">
            <w:pPr>
              <w:tabs>
                <w:tab w:val="left" w:pos="2880"/>
              </w:tabs>
              <w:jc w:val="right"/>
            </w:pPr>
            <w:r>
              <w:t>2.21</w:t>
            </w:r>
          </w:p>
        </w:tc>
        <w:tc>
          <w:tcPr>
            <w:tcW w:w="1368" w:type="dxa"/>
          </w:tcPr>
          <w:p w:rsidR="0049537E" w:rsidRDefault="0049537E" w:rsidP="008F1B84">
            <w:pPr>
              <w:tabs>
                <w:tab w:val="left" w:pos="2880"/>
              </w:tabs>
              <w:jc w:val="center"/>
            </w:pPr>
            <w:r>
              <w:t>4</w:t>
            </w:r>
          </w:p>
        </w:tc>
      </w:tr>
      <w:tr w:rsidR="0049537E" w:rsidTr="008F1B84">
        <w:tc>
          <w:tcPr>
            <w:tcW w:w="3690" w:type="dxa"/>
          </w:tcPr>
          <w:p w:rsidR="0049537E" w:rsidRDefault="0049537E" w:rsidP="008F1B84">
            <w:pPr>
              <w:tabs>
                <w:tab w:val="left" w:pos="2880"/>
              </w:tabs>
              <w:jc w:val="both"/>
            </w:pPr>
            <w:r>
              <w:t xml:space="preserve">Total </w:t>
            </w:r>
          </w:p>
        </w:tc>
        <w:tc>
          <w:tcPr>
            <w:tcW w:w="1350" w:type="dxa"/>
          </w:tcPr>
          <w:p w:rsidR="0049537E" w:rsidRDefault="0049537E" w:rsidP="008F1B84">
            <w:pPr>
              <w:tabs>
                <w:tab w:val="left" w:pos="2880"/>
              </w:tabs>
              <w:jc w:val="right"/>
            </w:pPr>
            <w:r>
              <w:t>701.09</w:t>
            </w:r>
          </w:p>
        </w:tc>
        <w:tc>
          <w:tcPr>
            <w:tcW w:w="1260" w:type="dxa"/>
          </w:tcPr>
          <w:p w:rsidR="0049537E" w:rsidRDefault="0049537E" w:rsidP="008F1B84">
            <w:pPr>
              <w:tabs>
                <w:tab w:val="left" w:pos="2880"/>
              </w:tabs>
              <w:jc w:val="right"/>
            </w:pPr>
            <w:r>
              <w:t>560.57</w:t>
            </w:r>
          </w:p>
        </w:tc>
        <w:tc>
          <w:tcPr>
            <w:tcW w:w="1080" w:type="dxa"/>
          </w:tcPr>
          <w:p w:rsidR="0049537E" w:rsidRDefault="0049537E" w:rsidP="008F1B84">
            <w:pPr>
              <w:tabs>
                <w:tab w:val="left" w:pos="2880"/>
              </w:tabs>
              <w:jc w:val="right"/>
            </w:pPr>
            <w:r>
              <w:t>140.52</w:t>
            </w:r>
          </w:p>
        </w:tc>
        <w:tc>
          <w:tcPr>
            <w:tcW w:w="1368" w:type="dxa"/>
          </w:tcPr>
          <w:p w:rsidR="0049537E" w:rsidRDefault="0049537E" w:rsidP="008F1B84">
            <w:pPr>
              <w:tabs>
                <w:tab w:val="left" w:pos="2880"/>
              </w:tabs>
              <w:jc w:val="center"/>
            </w:pPr>
            <w:r>
              <w:t>25</w:t>
            </w:r>
          </w:p>
        </w:tc>
      </w:tr>
    </w:tbl>
    <w:p w:rsidR="0049537E" w:rsidRDefault="0049537E" w:rsidP="0049537E">
      <w:pPr>
        <w:tabs>
          <w:tab w:val="left" w:pos="2880"/>
        </w:tabs>
        <w:jc w:val="both"/>
      </w:pPr>
      <w:r>
        <w:tab/>
      </w:r>
      <w:r>
        <w:tab/>
      </w:r>
      <w:r>
        <w:tab/>
      </w:r>
      <w:r>
        <w:tab/>
      </w:r>
    </w:p>
    <w:p w:rsidR="0049537E" w:rsidRDefault="0049537E" w:rsidP="0049537E">
      <w:pPr>
        <w:tabs>
          <w:tab w:val="left" w:pos="2880"/>
        </w:tabs>
        <w:ind w:left="720"/>
        <w:jc w:val="both"/>
      </w:pPr>
      <w:r w:rsidRPr="007722E2">
        <w:t xml:space="preserve">The increased revenue was principally attributed to the </w:t>
      </w:r>
      <w:r>
        <w:t>higher</w:t>
      </w:r>
      <w:r w:rsidRPr="007722E2">
        <w:t xml:space="preserve"> contributions from the South Pacific operations</w:t>
      </w:r>
      <w:r>
        <w:t xml:space="preserve">:- </w:t>
      </w:r>
    </w:p>
    <w:p w:rsidR="0049537E" w:rsidRDefault="0049537E" w:rsidP="0049537E">
      <w:pPr>
        <w:pStyle w:val="ListParagraph"/>
        <w:numPr>
          <w:ilvl w:val="0"/>
          <w:numId w:val="27"/>
        </w:numPr>
        <w:tabs>
          <w:tab w:val="left" w:pos="2880"/>
        </w:tabs>
        <w:jc w:val="both"/>
      </w:pPr>
      <w:r w:rsidRPr="007722E2">
        <w:t>Papua New Guinea</w:t>
      </w:r>
      <w:r>
        <w:t xml:space="preserve"> (RM12</w:t>
      </w:r>
      <w:r w:rsidR="00303F30">
        <w:t>0.33</w:t>
      </w:r>
      <w:r>
        <w:t xml:space="preserve"> million) - mainly from its Automotive segment (RM120.42 million) and boosted by the stronger Kina relative to Malaysian Ringgit of 23% (Kina 1: RM1.2291 in Q2 2011 vs. Kina1: RM1.5129 in Q2 2012); and</w:t>
      </w:r>
    </w:p>
    <w:p w:rsidR="0049537E" w:rsidRDefault="0049537E" w:rsidP="0049537E">
      <w:pPr>
        <w:pStyle w:val="ListParagraph"/>
        <w:numPr>
          <w:ilvl w:val="0"/>
          <w:numId w:val="27"/>
        </w:numPr>
        <w:tabs>
          <w:tab w:val="left" w:pos="2880"/>
        </w:tabs>
        <w:jc w:val="both"/>
      </w:pPr>
      <w:r>
        <w:t xml:space="preserve">Fiji (RM17.94 million) – from its Retail &amp; Wholesale segment (RM10.14 million) where all its businesses reported higher revenue.  </w:t>
      </w:r>
    </w:p>
    <w:p w:rsidR="0049537E" w:rsidRDefault="0049537E" w:rsidP="0049537E">
      <w:pPr>
        <w:tabs>
          <w:tab w:val="left" w:pos="2880"/>
        </w:tabs>
        <w:ind w:left="720"/>
        <w:jc w:val="both"/>
      </w:pPr>
    </w:p>
    <w:tbl>
      <w:tblPr>
        <w:tblStyle w:val="TableGrid"/>
        <w:tblW w:w="0" w:type="auto"/>
        <w:tblInd w:w="828" w:type="dxa"/>
        <w:tblLook w:val="04A0"/>
      </w:tblPr>
      <w:tblGrid>
        <w:gridCol w:w="3690"/>
        <w:gridCol w:w="1350"/>
        <w:gridCol w:w="1260"/>
        <w:gridCol w:w="1080"/>
        <w:gridCol w:w="1368"/>
      </w:tblGrid>
      <w:tr w:rsidR="0049537E" w:rsidTr="008F1B84">
        <w:tc>
          <w:tcPr>
            <w:tcW w:w="3690" w:type="dxa"/>
          </w:tcPr>
          <w:p w:rsidR="0049537E" w:rsidRPr="0034200C" w:rsidRDefault="0049537E" w:rsidP="0049537E">
            <w:pPr>
              <w:pStyle w:val="ListParagraph"/>
              <w:numPr>
                <w:ilvl w:val="0"/>
                <w:numId w:val="28"/>
              </w:numPr>
              <w:tabs>
                <w:tab w:val="left" w:pos="2880"/>
              </w:tabs>
              <w:jc w:val="both"/>
              <w:rPr>
                <w:b/>
              </w:rPr>
            </w:pPr>
            <w:r>
              <w:rPr>
                <w:b/>
              </w:rPr>
              <w:t xml:space="preserve">Results </w:t>
            </w:r>
          </w:p>
        </w:tc>
        <w:tc>
          <w:tcPr>
            <w:tcW w:w="1350" w:type="dxa"/>
          </w:tcPr>
          <w:p w:rsidR="0049537E" w:rsidRDefault="0049537E" w:rsidP="008F1B84">
            <w:pPr>
              <w:tabs>
                <w:tab w:val="left" w:pos="2880"/>
              </w:tabs>
              <w:jc w:val="center"/>
            </w:pPr>
            <w:r>
              <w:t>Q2 2012</w:t>
            </w:r>
          </w:p>
        </w:tc>
        <w:tc>
          <w:tcPr>
            <w:tcW w:w="1260" w:type="dxa"/>
          </w:tcPr>
          <w:p w:rsidR="0049537E" w:rsidRDefault="0049537E" w:rsidP="008F1B84">
            <w:pPr>
              <w:tabs>
                <w:tab w:val="left" w:pos="2880"/>
              </w:tabs>
              <w:jc w:val="center"/>
            </w:pPr>
            <w:r>
              <w:t>Q2 2011</w:t>
            </w:r>
          </w:p>
        </w:tc>
        <w:tc>
          <w:tcPr>
            <w:tcW w:w="2448" w:type="dxa"/>
            <w:gridSpan w:val="2"/>
          </w:tcPr>
          <w:p w:rsidR="0049537E" w:rsidRDefault="0049537E" w:rsidP="008F1B84">
            <w:pPr>
              <w:tabs>
                <w:tab w:val="left" w:pos="2880"/>
              </w:tabs>
              <w:jc w:val="center"/>
            </w:pPr>
            <w:r>
              <w:t>Increase</w:t>
            </w:r>
            <w:r w:rsidR="008F1B84">
              <w:t>/(Decrease)</w:t>
            </w:r>
          </w:p>
        </w:tc>
      </w:tr>
      <w:tr w:rsidR="0049537E" w:rsidTr="008F1B84">
        <w:tc>
          <w:tcPr>
            <w:tcW w:w="3690" w:type="dxa"/>
          </w:tcPr>
          <w:p w:rsidR="0049537E" w:rsidRDefault="0049537E" w:rsidP="008F1B84">
            <w:pPr>
              <w:tabs>
                <w:tab w:val="left" w:pos="2880"/>
              </w:tabs>
              <w:jc w:val="both"/>
            </w:pPr>
          </w:p>
        </w:tc>
        <w:tc>
          <w:tcPr>
            <w:tcW w:w="1350" w:type="dxa"/>
          </w:tcPr>
          <w:p w:rsidR="0049537E" w:rsidRDefault="0049537E" w:rsidP="008F1B84">
            <w:pPr>
              <w:tabs>
                <w:tab w:val="left" w:pos="2880"/>
              </w:tabs>
              <w:jc w:val="center"/>
            </w:pPr>
            <w:proofErr w:type="spellStart"/>
            <w:r>
              <w:t>RM’mil</w:t>
            </w:r>
            <w:proofErr w:type="spellEnd"/>
          </w:p>
        </w:tc>
        <w:tc>
          <w:tcPr>
            <w:tcW w:w="1260" w:type="dxa"/>
          </w:tcPr>
          <w:p w:rsidR="0049537E" w:rsidRDefault="0049537E" w:rsidP="008F1B84">
            <w:pPr>
              <w:tabs>
                <w:tab w:val="left" w:pos="2880"/>
              </w:tabs>
              <w:jc w:val="center"/>
            </w:pPr>
            <w:proofErr w:type="spellStart"/>
            <w:r>
              <w:t>RM’mil</w:t>
            </w:r>
            <w:proofErr w:type="spellEnd"/>
          </w:p>
        </w:tc>
        <w:tc>
          <w:tcPr>
            <w:tcW w:w="1080" w:type="dxa"/>
          </w:tcPr>
          <w:p w:rsidR="0049537E" w:rsidRDefault="0049537E" w:rsidP="008F1B84">
            <w:pPr>
              <w:tabs>
                <w:tab w:val="left" w:pos="2880"/>
              </w:tabs>
              <w:jc w:val="center"/>
            </w:pPr>
            <w:proofErr w:type="spellStart"/>
            <w:r>
              <w:t>RM’mil</w:t>
            </w:r>
            <w:proofErr w:type="spellEnd"/>
          </w:p>
        </w:tc>
        <w:tc>
          <w:tcPr>
            <w:tcW w:w="1368" w:type="dxa"/>
          </w:tcPr>
          <w:p w:rsidR="0049537E" w:rsidRDefault="0049537E" w:rsidP="008F1B84">
            <w:pPr>
              <w:tabs>
                <w:tab w:val="left" w:pos="2880"/>
              </w:tabs>
              <w:jc w:val="center"/>
            </w:pPr>
            <w:r>
              <w:t>%</w:t>
            </w:r>
          </w:p>
        </w:tc>
      </w:tr>
      <w:tr w:rsidR="0049537E" w:rsidTr="008F1B84">
        <w:tc>
          <w:tcPr>
            <w:tcW w:w="3690" w:type="dxa"/>
          </w:tcPr>
          <w:p w:rsidR="0049537E" w:rsidRPr="00B37F63" w:rsidRDefault="0049537E" w:rsidP="008F1B84">
            <w:pPr>
              <w:tabs>
                <w:tab w:val="left" w:pos="2880"/>
              </w:tabs>
              <w:jc w:val="both"/>
              <w:rPr>
                <w:b/>
              </w:rPr>
            </w:pPr>
            <w:r w:rsidRPr="00B37F63">
              <w:rPr>
                <w:b/>
              </w:rPr>
              <w:t>Profit before tax &amp; non-recurring items</w:t>
            </w:r>
          </w:p>
        </w:tc>
        <w:tc>
          <w:tcPr>
            <w:tcW w:w="1350" w:type="dxa"/>
          </w:tcPr>
          <w:p w:rsidR="0049537E" w:rsidRDefault="0049537E" w:rsidP="008F1B84">
            <w:pPr>
              <w:tabs>
                <w:tab w:val="left" w:pos="2880"/>
              </w:tabs>
              <w:jc w:val="right"/>
            </w:pPr>
          </w:p>
        </w:tc>
        <w:tc>
          <w:tcPr>
            <w:tcW w:w="1260" w:type="dxa"/>
          </w:tcPr>
          <w:p w:rsidR="0049537E" w:rsidRDefault="0049537E" w:rsidP="008F1B84">
            <w:pPr>
              <w:tabs>
                <w:tab w:val="left" w:pos="2880"/>
              </w:tabs>
              <w:jc w:val="right"/>
            </w:pPr>
          </w:p>
        </w:tc>
        <w:tc>
          <w:tcPr>
            <w:tcW w:w="1080" w:type="dxa"/>
          </w:tcPr>
          <w:p w:rsidR="0049537E" w:rsidRDefault="0049537E" w:rsidP="008F1B84">
            <w:pPr>
              <w:tabs>
                <w:tab w:val="left" w:pos="2880"/>
              </w:tabs>
              <w:jc w:val="right"/>
            </w:pPr>
          </w:p>
        </w:tc>
        <w:tc>
          <w:tcPr>
            <w:tcW w:w="1368" w:type="dxa"/>
          </w:tcPr>
          <w:p w:rsidR="0049537E" w:rsidRDefault="0049537E" w:rsidP="008F1B84">
            <w:pPr>
              <w:tabs>
                <w:tab w:val="left" w:pos="2880"/>
              </w:tabs>
              <w:jc w:val="center"/>
            </w:pPr>
          </w:p>
        </w:tc>
      </w:tr>
      <w:tr w:rsidR="0049537E" w:rsidTr="008F1B84">
        <w:tc>
          <w:tcPr>
            <w:tcW w:w="3690" w:type="dxa"/>
          </w:tcPr>
          <w:p w:rsidR="0049537E" w:rsidRDefault="0049537E" w:rsidP="008F1B84">
            <w:pPr>
              <w:tabs>
                <w:tab w:val="left" w:pos="2880"/>
              </w:tabs>
              <w:jc w:val="both"/>
            </w:pPr>
            <w:r>
              <w:t>- Continuing operations</w:t>
            </w:r>
          </w:p>
        </w:tc>
        <w:tc>
          <w:tcPr>
            <w:tcW w:w="1350" w:type="dxa"/>
          </w:tcPr>
          <w:p w:rsidR="0049537E" w:rsidRDefault="0049537E" w:rsidP="008F1B84">
            <w:pPr>
              <w:tabs>
                <w:tab w:val="left" w:pos="2880"/>
              </w:tabs>
              <w:jc w:val="right"/>
            </w:pPr>
            <w:r>
              <w:t>0.38</w:t>
            </w:r>
          </w:p>
        </w:tc>
        <w:tc>
          <w:tcPr>
            <w:tcW w:w="1260" w:type="dxa"/>
          </w:tcPr>
          <w:p w:rsidR="0049537E" w:rsidRDefault="0049537E" w:rsidP="008F1B84">
            <w:pPr>
              <w:tabs>
                <w:tab w:val="left" w:pos="2880"/>
              </w:tabs>
              <w:jc w:val="right"/>
            </w:pPr>
            <w:r>
              <w:t>(11.86)</w:t>
            </w:r>
          </w:p>
        </w:tc>
        <w:tc>
          <w:tcPr>
            <w:tcW w:w="1080" w:type="dxa"/>
          </w:tcPr>
          <w:p w:rsidR="0049537E" w:rsidRDefault="0049537E" w:rsidP="008F1B84">
            <w:pPr>
              <w:tabs>
                <w:tab w:val="left" w:pos="2880"/>
              </w:tabs>
              <w:jc w:val="right"/>
            </w:pPr>
            <w:r>
              <w:t>12.24</w:t>
            </w:r>
          </w:p>
        </w:tc>
        <w:tc>
          <w:tcPr>
            <w:tcW w:w="1368" w:type="dxa"/>
          </w:tcPr>
          <w:p w:rsidR="0049537E" w:rsidRDefault="0049537E" w:rsidP="008F1B84">
            <w:pPr>
              <w:tabs>
                <w:tab w:val="left" w:pos="2880"/>
              </w:tabs>
              <w:jc w:val="center"/>
            </w:pPr>
            <w:r>
              <w:t>103</w:t>
            </w:r>
          </w:p>
        </w:tc>
      </w:tr>
      <w:tr w:rsidR="0049537E" w:rsidTr="008F1B84">
        <w:tc>
          <w:tcPr>
            <w:tcW w:w="3690" w:type="dxa"/>
          </w:tcPr>
          <w:p w:rsidR="0049537E" w:rsidRDefault="0049537E" w:rsidP="008F1B84">
            <w:pPr>
              <w:tabs>
                <w:tab w:val="left" w:pos="2880"/>
              </w:tabs>
              <w:jc w:val="both"/>
            </w:pPr>
            <w:r>
              <w:t xml:space="preserve">- Discontinued operation </w:t>
            </w:r>
          </w:p>
        </w:tc>
        <w:tc>
          <w:tcPr>
            <w:tcW w:w="1350" w:type="dxa"/>
          </w:tcPr>
          <w:p w:rsidR="0049537E" w:rsidRDefault="0049537E" w:rsidP="008F1B84">
            <w:pPr>
              <w:tabs>
                <w:tab w:val="left" w:pos="2880"/>
              </w:tabs>
              <w:jc w:val="right"/>
            </w:pPr>
            <w:r>
              <w:t>16.23</w:t>
            </w:r>
          </w:p>
        </w:tc>
        <w:tc>
          <w:tcPr>
            <w:tcW w:w="1260" w:type="dxa"/>
          </w:tcPr>
          <w:p w:rsidR="0049537E" w:rsidRDefault="0049537E" w:rsidP="008F1B84">
            <w:pPr>
              <w:tabs>
                <w:tab w:val="left" w:pos="2880"/>
              </w:tabs>
              <w:jc w:val="right"/>
            </w:pPr>
            <w:r>
              <w:t>12.69</w:t>
            </w:r>
          </w:p>
        </w:tc>
        <w:tc>
          <w:tcPr>
            <w:tcW w:w="1080" w:type="dxa"/>
          </w:tcPr>
          <w:p w:rsidR="0049537E" w:rsidRDefault="0049537E" w:rsidP="008F1B84">
            <w:pPr>
              <w:tabs>
                <w:tab w:val="left" w:pos="2880"/>
              </w:tabs>
              <w:jc w:val="right"/>
            </w:pPr>
            <w:r>
              <w:t>3.54</w:t>
            </w:r>
          </w:p>
        </w:tc>
        <w:tc>
          <w:tcPr>
            <w:tcW w:w="1368" w:type="dxa"/>
          </w:tcPr>
          <w:p w:rsidR="0049537E" w:rsidRDefault="008F1B84" w:rsidP="008F1B84">
            <w:pPr>
              <w:tabs>
                <w:tab w:val="left" w:pos="2880"/>
              </w:tabs>
              <w:jc w:val="center"/>
            </w:pPr>
            <w:r>
              <w:t xml:space="preserve">  </w:t>
            </w:r>
            <w:r w:rsidR="0049537E">
              <w:t>28</w:t>
            </w:r>
          </w:p>
        </w:tc>
      </w:tr>
      <w:tr w:rsidR="0049537E" w:rsidTr="008F1B84">
        <w:tc>
          <w:tcPr>
            <w:tcW w:w="3690" w:type="dxa"/>
          </w:tcPr>
          <w:p w:rsidR="0049537E" w:rsidRPr="00B37F63" w:rsidRDefault="0049537E" w:rsidP="008F1B84">
            <w:pPr>
              <w:tabs>
                <w:tab w:val="left" w:pos="2880"/>
              </w:tabs>
              <w:jc w:val="both"/>
              <w:rPr>
                <w:b/>
              </w:rPr>
            </w:pPr>
            <w:r w:rsidRPr="00B37F63">
              <w:rPr>
                <w:b/>
              </w:rPr>
              <w:t>Group’s operating profits</w:t>
            </w:r>
            <w:r>
              <w:rPr>
                <w:b/>
              </w:rPr>
              <w:t xml:space="preserve"> before tax</w:t>
            </w:r>
          </w:p>
        </w:tc>
        <w:tc>
          <w:tcPr>
            <w:tcW w:w="1350" w:type="dxa"/>
          </w:tcPr>
          <w:p w:rsidR="0049537E" w:rsidRDefault="0049537E" w:rsidP="008F1B84">
            <w:pPr>
              <w:tabs>
                <w:tab w:val="left" w:pos="2880"/>
              </w:tabs>
              <w:jc w:val="right"/>
            </w:pPr>
            <w:r>
              <w:t>16.61</w:t>
            </w:r>
          </w:p>
        </w:tc>
        <w:tc>
          <w:tcPr>
            <w:tcW w:w="1260" w:type="dxa"/>
          </w:tcPr>
          <w:p w:rsidR="0049537E" w:rsidRDefault="0049537E" w:rsidP="008F1B84">
            <w:pPr>
              <w:tabs>
                <w:tab w:val="left" w:pos="2880"/>
              </w:tabs>
              <w:jc w:val="right"/>
            </w:pPr>
            <w:r>
              <w:t>0.83</w:t>
            </w:r>
          </w:p>
        </w:tc>
        <w:tc>
          <w:tcPr>
            <w:tcW w:w="1080" w:type="dxa"/>
          </w:tcPr>
          <w:p w:rsidR="0049537E" w:rsidRDefault="0049537E" w:rsidP="008F1B84">
            <w:pPr>
              <w:tabs>
                <w:tab w:val="left" w:pos="2880"/>
              </w:tabs>
              <w:jc w:val="right"/>
            </w:pPr>
            <w:r>
              <w:t>15.78</w:t>
            </w:r>
          </w:p>
        </w:tc>
        <w:tc>
          <w:tcPr>
            <w:tcW w:w="1368" w:type="dxa"/>
          </w:tcPr>
          <w:p w:rsidR="0049537E" w:rsidRDefault="008F1B84" w:rsidP="008F1B84">
            <w:pPr>
              <w:tabs>
                <w:tab w:val="left" w:pos="2880"/>
              </w:tabs>
            </w:pPr>
            <w:r>
              <w:t xml:space="preserve">       </w:t>
            </w:r>
            <w:r w:rsidR="0049537E">
              <w:t>1901</w:t>
            </w:r>
          </w:p>
        </w:tc>
      </w:tr>
      <w:tr w:rsidR="0049537E" w:rsidTr="008F1B84">
        <w:tc>
          <w:tcPr>
            <w:tcW w:w="3690" w:type="dxa"/>
          </w:tcPr>
          <w:p w:rsidR="0049537E" w:rsidRDefault="0049537E" w:rsidP="008F1B84">
            <w:pPr>
              <w:tabs>
                <w:tab w:val="left" w:pos="2880"/>
              </w:tabs>
              <w:jc w:val="both"/>
            </w:pPr>
            <w:r>
              <w:t xml:space="preserve">   Non- recurring items</w:t>
            </w:r>
          </w:p>
        </w:tc>
        <w:tc>
          <w:tcPr>
            <w:tcW w:w="1350" w:type="dxa"/>
          </w:tcPr>
          <w:p w:rsidR="0049537E" w:rsidRDefault="0049537E" w:rsidP="008F1B84">
            <w:pPr>
              <w:tabs>
                <w:tab w:val="left" w:pos="2880"/>
              </w:tabs>
              <w:jc w:val="right"/>
            </w:pPr>
            <w:r>
              <w:t>3.74</w:t>
            </w:r>
          </w:p>
        </w:tc>
        <w:tc>
          <w:tcPr>
            <w:tcW w:w="1260" w:type="dxa"/>
          </w:tcPr>
          <w:p w:rsidR="0049537E" w:rsidRDefault="0049537E" w:rsidP="008F1B84">
            <w:pPr>
              <w:tabs>
                <w:tab w:val="left" w:pos="2880"/>
              </w:tabs>
              <w:jc w:val="right"/>
            </w:pPr>
            <w:r>
              <w:t>113.53</w:t>
            </w:r>
          </w:p>
        </w:tc>
        <w:tc>
          <w:tcPr>
            <w:tcW w:w="1080" w:type="dxa"/>
          </w:tcPr>
          <w:p w:rsidR="0049537E" w:rsidRDefault="008F1B84" w:rsidP="008F1B84">
            <w:pPr>
              <w:tabs>
                <w:tab w:val="left" w:pos="2880"/>
              </w:tabs>
              <w:jc w:val="right"/>
            </w:pPr>
            <w:r>
              <w:t>(109.79)</w:t>
            </w:r>
          </w:p>
        </w:tc>
        <w:tc>
          <w:tcPr>
            <w:tcW w:w="1368" w:type="dxa"/>
          </w:tcPr>
          <w:p w:rsidR="0049537E" w:rsidRDefault="008F1B84" w:rsidP="008F1B84">
            <w:pPr>
              <w:tabs>
                <w:tab w:val="left" w:pos="2880"/>
              </w:tabs>
              <w:jc w:val="center"/>
            </w:pPr>
            <w:r>
              <w:t xml:space="preserve"> (96)</w:t>
            </w:r>
          </w:p>
        </w:tc>
      </w:tr>
      <w:tr w:rsidR="0049537E" w:rsidTr="008F1B84">
        <w:tc>
          <w:tcPr>
            <w:tcW w:w="3690" w:type="dxa"/>
          </w:tcPr>
          <w:p w:rsidR="0049537E" w:rsidRDefault="0049537E" w:rsidP="008F1B84">
            <w:pPr>
              <w:tabs>
                <w:tab w:val="left" w:pos="2880"/>
              </w:tabs>
              <w:jc w:val="both"/>
            </w:pPr>
            <w:r>
              <w:t xml:space="preserve">   Taxation</w:t>
            </w:r>
          </w:p>
        </w:tc>
        <w:tc>
          <w:tcPr>
            <w:tcW w:w="1350" w:type="dxa"/>
          </w:tcPr>
          <w:p w:rsidR="0049537E" w:rsidRDefault="0049537E" w:rsidP="008F1B84">
            <w:pPr>
              <w:tabs>
                <w:tab w:val="left" w:pos="2880"/>
              </w:tabs>
              <w:jc w:val="right"/>
            </w:pPr>
            <w:r>
              <w:t>(13.59)</w:t>
            </w:r>
          </w:p>
        </w:tc>
        <w:tc>
          <w:tcPr>
            <w:tcW w:w="1260" w:type="dxa"/>
          </w:tcPr>
          <w:p w:rsidR="0049537E" w:rsidRDefault="0049537E" w:rsidP="008F1B84">
            <w:pPr>
              <w:tabs>
                <w:tab w:val="left" w:pos="2880"/>
              </w:tabs>
              <w:jc w:val="right"/>
            </w:pPr>
            <w:r>
              <w:t>(17.45)</w:t>
            </w:r>
          </w:p>
        </w:tc>
        <w:tc>
          <w:tcPr>
            <w:tcW w:w="1080" w:type="dxa"/>
          </w:tcPr>
          <w:p w:rsidR="0049537E" w:rsidRDefault="008F1B84" w:rsidP="008F1B84">
            <w:pPr>
              <w:tabs>
                <w:tab w:val="left" w:pos="2880"/>
              </w:tabs>
              <w:jc w:val="right"/>
            </w:pPr>
            <w:r>
              <w:t>3.86</w:t>
            </w:r>
          </w:p>
        </w:tc>
        <w:tc>
          <w:tcPr>
            <w:tcW w:w="1368" w:type="dxa"/>
          </w:tcPr>
          <w:p w:rsidR="0049537E" w:rsidRDefault="008F1B84" w:rsidP="008F1B84">
            <w:pPr>
              <w:tabs>
                <w:tab w:val="left" w:pos="2880"/>
              </w:tabs>
              <w:jc w:val="center"/>
            </w:pPr>
            <w:r>
              <w:t xml:space="preserve"> 22</w:t>
            </w:r>
          </w:p>
        </w:tc>
      </w:tr>
      <w:tr w:rsidR="0049537E" w:rsidTr="008F1B84">
        <w:tc>
          <w:tcPr>
            <w:tcW w:w="3690" w:type="dxa"/>
          </w:tcPr>
          <w:p w:rsidR="0049537E" w:rsidRPr="00B37F63" w:rsidRDefault="0049537E" w:rsidP="008F1B84">
            <w:pPr>
              <w:tabs>
                <w:tab w:val="left" w:pos="2880"/>
              </w:tabs>
              <w:jc w:val="both"/>
              <w:rPr>
                <w:b/>
              </w:rPr>
            </w:pPr>
            <w:r>
              <w:rPr>
                <w:b/>
              </w:rPr>
              <w:t>P</w:t>
            </w:r>
            <w:r w:rsidRPr="00B37F63">
              <w:rPr>
                <w:b/>
              </w:rPr>
              <w:t>rofit</w:t>
            </w:r>
            <w:r>
              <w:rPr>
                <w:b/>
              </w:rPr>
              <w:t xml:space="preserve">, net of </w:t>
            </w:r>
            <w:r w:rsidRPr="00B37F63">
              <w:rPr>
                <w:b/>
              </w:rPr>
              <w:t>tax</w:t>
            </w:r>
          </w:p>
        </w:tc>
        <w:tc>
          <w:tcPr>
            <w:tcW w:w="1350" w:type="dxa"/>
          </w:tcPr>
          <w:p w:rsidR="0049537E" w:rsidRDefault="0049537E" w:rsidP="008F1B84">
            <w:pPr>
              <w:tabs>
                <w:tab w:val="left" w:pos="2880"/>
              </w:tabs>
              <w:jc w:val="right"/>
            </w:pPr>
            <w:r>
              <w:t>6.76</w:t>
            </w:r>
          </w:p>
        </w:tc>
        <w:tc>
          <w:tcPr>
            <w:tcW w:w="1260" w:type="dxa"/>
          </w:tcPr>
          <w:p w:rsidR="0049537E" w:rsidRDefault="0049537E" w:rsidP="008F1B84">
            <w:pPr>
              <w:tabs>
                <w:tab w:val="left" w:pos="2880"/>
              </w:tabs>
              <w:jc w:val="right"/>
            </w:pPr>
            <w:r>
              <w:t>96.91</w:t>
            </w:r>
          </w:p>
        </w:tc>
        <w:tc>
          <w:tcPr>
            <w:tcW w:w="1080" w:type="dxa"/>
          </w:tcPr>
          <w:p w:rsidR="0049537E" w:rsidRDefault="008F1B84" w:rsidP="008F1B84">
            <w:pPr>
              <w:tabs>
                <w:tab w:val="left" w:pos="2880"/>
              </w:tabs>
              <w:jc w:val="right"/>
            </w:pPr>
            <w:r>
              <w:t>(90.15)</w:t>
            </w:r>
          </w:p>
        </w:tc>
        <w:tc>
          <w:tcPr>
            <w:tcW w:w="1368" w:type="dxa"/>
          </w:tcPr>
          <w:p w:rsidR="0049537E" w:rsidRDefault="008F1B84" w:rsidP="008F1B84">
            <w:pPr>
              <w:tabs>
                <w:tab w:val="left" w:pos="2880"/>
              </w:tabs>
              <w:jc w:val="center"/>
            </w:pPr>
            <w:r>
              <w:t xml:space="preserve"> (93)</w:t>
            </w:r>
          </w:p>
        </w:tc>
      </w:tr>
    </w:tbl>
    <w:p w:rsidR="0049537E" w:rsidRDefault="0049537E" w:rsidP="0049537E">
      <w:pPr>
        <w:ind w:left="720"/>
        <w:jc w:val="both"/>
      </w:pPr>
    </w:p>
    <w:p w:rsidR="0049537E" w:rsidRDefault="0049537E" w:rsidP="0049537E">
      <w:pPr>
        <w:ind w:left="720"/>
        <w:jc w:val="both"/>
      </w:pPr>
      <w:r>
        <w:t>The much improved operating</w:t>
      </w:r>
      <w:r w:rsidRPr="007722E2">
        <w:t xml:space="preserve"> </w:t>
      </w:r>
      <w:r>
        <w:t>profit</w:t>
      </w:r>
      <w:r w:rsidRPr="007722E2">
        <w:t xml:space="preserve"> </w:t>
      </w:r>
      <w:r>
        <w:t xml:space="preserve">before tax of RM16.61 million compared to RM0.83 million in the corresponding quarter of 2011was </w:t>
      </w:r>
      <w:r w:rsidRPr="00D44F98">
        <w:t xml:space="preserve">due </w:t>
      </w:r>
      <w:r w:rsidRPr="008B3B52">
        <w:t>principally</w:t>
      </w:r>
      <w:r>
        <w:t>:-</w:t>
      </w:r>
    </w:p>
    <w:p w:rsidR="0049537E" w:rsidRDefault="0049537E" w:rsidP="0049537E">
      <w:pPr>
        <w:pStyle w:val="ListParagraph"/>
        <w:numPr>
          <w:ilvl w:val="0"/>
          <w:numId w:val="29"/>
        </w:numPr>
        <w:jc w:val="both"/>
      </w:pPr>
      <w:r w:rsidRPr="008B3B52">
        <w:t xml:space="preserve">the </w:t>
      </w:r>
      <w:r>
        <w:t>increased revenue as explained above; and</w:t>
      </w:r>
    </w:p>
    <w:p w:rsidR="0049537E" w:rsidRDefault="0049537E" w:rsidP="0049537E">
      <w:pPr>
        <w:pStyle w:val="ListParagraph"/>
        <w:numPr>
          <w:ilvl w:val="0"/>
          <w:numId w:val="29"/>
        </w:numPr>
        <w:jc w:val="both"/>
      </w:pPr>
      <w:r>
        <w:t>the reduced loss in the Shipping segment (RM1.96 million vs. RM</w:t>
      </w:r>
      <w:r w:rsidR="0076101D">
        <w:t>10.39</w:t>
      </w:r>
      <w:r>
        <w:t xml:space="preserve"> million in Q2 2011) as a result of reduced operating overheads on smaller fleet size (from 4 chartered vessels to 2) and cessation of its agency companies set up in New Zealand and Australia;</w:t>
      </w:r>
    </w:p>
    <w:p w:rsidR="0049537E" w:rsidRDefault="0049537E" w:rsidP="0049537E">
      <w:pPr>
        <w:pStyle w:val="ListParagraph"/>
        <w:numPr>
          <w:ilvl w:val="0"/>
          <w:numId w:val="29"/>
        </w:numPr>
        <w:jc w:val="both"/>
      </w:pPr>
      <w:proofErr w:type="gramStart"/>
      <w:r>
        <w:t>which</w:t>
      </w:r>
      <w:proofErr w:type="gramEnd"/>
      <w:r>
        <w:t xml:space="preserve"> improvements were offset by the poor performance in the PNG-Agriculture segment attributed </w:t>
      </w:r>
      <w:r w:rsidR="00F25806">
        <w:t>to</w:t>
      </w:r>
      <w:r>
        <w:t xml:space="preserve"> the depressed commodities prices.</w:t>
      </w:r>
      <w:r w:rsidRPr="008B3B52">
        <w:t xml:space="preserve"> </w:t>
      </w:r>
    </w:p>
    <w:p w:rsidR="0049537E" w:rsidRDefault="0049537E" w:rsidP="0049537E">
      <w:pPr>
        <w:ind w:left="720"/>
        <w:jc w:val="both"/>
      </w:pPr>
    </w:p>
    <w:p w:rsidR="0049537E" w:rsidRDefault="0049537E" w:rsidP="0049537E">
      <w:pPr>
        <w:ind w:left="720"/>
        <w:jc w:val="both"/>
      </w:pPr>
      <w:r>
        <w:t xml:space="preserve">The non-recurring items for the quarter under review with net gains of RM3.74 million comprised the gain on disposal of property of RM5.46 million less additional provision for flood losses by WR Carpenter (South Pacific) Limited of RM1.65 million (Q1 2012: RM3.96 million,  Q1 </w:t>
      </w:r>
      <w:r w:rsidRPr="007722E2">
        <w:t>201</w:t>
      </w:r>
      <w:r>
        <w:t>1</w:t>
      </w:r>
      <w:r w:rsidRPr="007722E2">
        <w:t xml:space="preserve"> – </w:t>
      </w:r>
      <w:r>
        <w:t>Nil</w:t>
      </w:r>
      <w:r w:rsidRPr="007722E2">
        <w:t>)</w:t>
      </w:r>
      <w:r>
        <w:t>) due to the floods in the months of January and March/April whereas included in last year’s corresponding quarter was RM113.53 million of net gain from fair value adjustment of investment properties as disclosed in Note A5.</w:t>
      </w:r>
    </w:p>
    <w:p w:rsidR="0049537E" w:rsidRDefault="0049537E" w:rsidP="0049537E">
      <w:pPr>
        <w:ind w:left="720"/>
        <w:jc w:val="both"/>
      </w:pPr>
    </w:p>
    <w:p w:rsidR="0049537E" w:rsidRDefault="0049537E" w:rsidP="0049537E">
      <w:pPr>
        <w:ind w:left="720"/>
        <w:jc w:val="both"/>
      </w:pPr>
      <w:r>
        <w:t>The Group’s profit, net of tax for the quarter ended 30 June 2012 comprised:-</w:t>
      </w:r>
    </w:p>
    <w:p w:rsidR="0049537E" w:rsidRDefault="0049537E" w:rsidP="0049537E">
      <w:pPr>
        <w:ind w:left="720"/>
        <w:jc w:val="both"/>
      </w:pPr>
    </w:p>
    <w:tbl>
      <w:tblPr>
        <w:tblStyle w:val="TableGrid"/>
        <w:tblW w:w="0" w:type="auto"/>
        <w:tblInd w:w="828" w:type="dxa"/>
        <w:tblLook w:val="04A0"/>
      </w:tblPr>
      <w:tblGrid>
        <w:gridCol w:w="3690"/>
        <w:gridCol w:w="1350"/>
        <w:gridCol w:w="1260"/>
        <w:gridCol w:w="1080"/>
        <w:gridCol w:w="1368"/>
      </w:tblGrid>
      <w:tr w:rsidR="0049537E" w:rsidTr="008F1B84">
        <w:tc>
          <w:tcPr>
            <w:tcW w:w="3690" w:type="dxa"/>
          </w:tcPr>
          <w:p w:rsidR="0049537E" w:rsidRPr="00234CF2" w:rsidRDefault="0049537E" w:rsidP="008F1B84">
            <w:pPr>
              <w:tabs>
                <w:tab w:val="left" w:pos="2880"/>
              </w:tabs>
              <w:jc w:val="both"/>
              <w:rPr>
                <w:b/>
              </w:rPr>
            </w:pPr>
          </w:p>
        </w:tc>
        <w:tc>
          <w:tcPr>
            <w:tcW w:w="1350" w:type="dxa"/>
          </w:tcPr>
          <w:p w:rsidR="0049537E" w:rsidRDefault="0049537E" w:rsidP="008F1B84">
            <w:pPr>
              <w:tabs>
                <w:tab w:val="left" w:pos="2880"/>
              </w:tabs>
              <w:jc w:val="center"/>
            </w:pPr>
            <w:r>
              <w:t>Q2 2012</w:t>
            </w:r>
          </w:p>
        </w:tc>
        <w:tc>
          <w:tcPr>
            <w:tcW w:w="1260" w:type="dxa"/>
          </w:tcPr>
          <w:p w:rsidR="0049537E" w:rsidRDefault="0049537E" w:rsidP="008F1B84">
            <w:pPr>
              <w:tabs>
                <w:tab w:val="left" w:pos="2880"/>
              </w:tabs>
              <w:jc w:val="center"/>
            </w:pPr>
            <w:r>
              <w:t>Q2 2011</w:t>
            </w:r>
          </w:p>
        </w:tc>
        <w:tc>
          <w:tcPr>
            <w:tcW w:w="2448" w:type="dxa"/>
            <w:gridSpan w:val="2"/>
          </w:tcPr>
          <w:p w:rsidR="0049537E" w:rsidRDefault="0049537E" w:rsidP="008F1B84">
            <w:pPr>
              <w:tabs>
                <w:tab w:val="left" w:pos="2880"/>
              </w:tabs>
              <w:jc w:val="center"/>
            </w:pPr>
            <w:r>
              <w:t>Increase</w:t>
            </w:r>
            <w:r w:rsidR="008F1B84">
              <w:t>/(Decrease)</w:t>
            </w:r>
          </w:p>
        </w:tc>
      </w:tr>
      <w:tr w:rsidR="0049537E" w:rsidTr="008F1B84">
        <w:tc>
          <w:tcPr>
            <w:tcW w:w="3690" w:type="dxa"/>
          </w:tcPr>
          <w:p w:rsidR="0049537E" w:rsidRDefault="0049537E" w:rsidP="008F1B84">
            <w:pPr>
              <w:tabs>
                <w:tab w:val="left" w:pos="2880"/>
              </w:tabs>
              <w:jc w:val="both"/>
            </w:pPr>
          </w:p>
        </w:tc>
        <w:tc>
          <w:tcPr>
            <w:tcW w:w="1350" w:type="dxa"/>
          </w:tcPr>
          <w:p w:rsidR="0049537E" w:rsidRDefault="0049537E" w:rsidP="008F1B84">
            <w:pPr>
              <w:tabs>
                <w:tab w:val="left" w:pos="2880"/>
              </w:tabs>
              <w:jc w:val="center"/>
            </w:pPr>
            <w:proofErr w:type="spellStart"/>
            <w:r>
              <w:t>RM’mil</w:t>
            </w:r>
            <w:proofErr w:type="spellEnd"/>
          </w:p>
        </w:tc>
        <w:tc>
          <w:tcPr>
            <w:tcW w:w="1260" w:type="dxa"/>
          </w:tcPr>
          <w:p w:rsidR="0049537E" w:rsidRDefault="0049537E" w:rsidP="008F1B84">
            <w:pPr>
              <w:tabs>
                <w:tab w:val="left" w:pos="2880"/>
              </w:tabs>
              <w:jc w:val="center"/>
            </w:pPr>
            <w:proofErr w:type="spellStart"/>
            <w:r>
              <w:t>RM’mil</w:t>
            </w:r>
            <w:proofErr w:type="spellEnd"/>
          </w:p>
        </w:tc>
        <w:tc>
          <w:tcPr>
            <w:tcW w:w="1080" w:type="dxa"/>
          </w:tcPr>
          <w:p w:rsidR="0049537E" w:rsidRDefault="0049537E" w:rsidP="008F1B84">
            <w:pPr>
              <w:tabs>
                <w:tab w:val="left" w:pos="2880"/>
              </w:tabs>
              <w:jc w:val="center"/>
            </w:pPr>
            <w:proofErr w:type="spellStart"/>
            <w:r>
              <w:t>RM’mil</w:t>
            </w:r>
            <w:proofErr w:type="spellEnd"/>
          </w:p>
        </w:tc>
        <w:tc>
          <w:tcPr>
            <w:tcW w:w="1368" w:type="dxa"/>
          </w:tcPr>
          <w:p w:rsidR="0049537E" w:rsidRDefault="0049537E" w:rsidP="008F1B84">
            <w:pPr>
              <w:tabs>
                <w:tab w:val="left" w:pos="2880"/>
              </w:tabs>
              <w:jc w:val="center"/>
            </w:pPr>
            <w:r>
              <w:t>%</w:t>
            </w:r>
          </w:p>
        </w:tc>
      </w:tr>
      <w:tr w:rsidR="0049537E" w:rsidTr="008F1B84">
        <w:tc>
          <w:tcPr>
            <w:tcW w:w="3690" w:type="dxa"/>
          </w:tcPr>
          <w:p w:rsidR="0049537E" w:rsidRDefault="0049537E" w:rsidP="008F1B84">
            <w:pPr>
              <w:tabs>
                <w:tab w:val="left" w:pos="2880"/>
              </w:tabs>
              <w:jc w:val="both"/>
            </w:pPr>
            <w:r>
              <w:t>- Continuing operations</w:t>
            </w:r>
          </w:p>
        </w:tc>
        <w:tc>
          <w:tcPr>
            <w:tcW w:w="1350" w:type="dxa"/>
          </w:tcPr>
          <w:p w:rsidR="0049537E" w:rsidRDefault="0049537E" w:rsidP="008F1B84">
            <w:pPr>
              <w:tabs>
                <w:tab w:val="left" w:pos="2880"/>
              </w:tabs>
              <w:jc w:val="right"/>
            </w:pPr>
            <w:r>
              <w:t>(5.41)</w:t>
            </w:r>
          </w:p>
        </w:tc>
        <w:tc>
          <w:tcPr>
            <w:tcW w:w="1260" w:type="dxa"/>
          </w:tcPr>
          <w:p w:rsidR="0049537E" w:rsidRDefault="0049537E" w:rsidP="008F1B84">
            <w:pPr>
              <w:tabs>
                <w:tab w:val="left" w:pos="2880"/>
              </w:tabs>
              <w:jc w:val="right"/>
            </w:pPr>
            <w:r>
              <w:t>87.95</w:t>
            </w:r>
          </w:p>
        </w:tc>
        <w:tc>
          <w:tcPr>
            <w:tcW w:w="1080" w:type="dxa"/>
          </w:tcPr>
          <w:p w:rsidR="0049537E" w:rsidRDefault="0049537E" w:rsidP="008F1B84">
            <w:pPr>
              <w:tabs>
                <w:tab w:val="left" w:pos="2880"/>
              </w:tabs>
              <w:jc w:val="right"/>
            </w:pPr>
            <w:r>
              <w:t>(93.36)</w:t>
            </w:r>
          </w:p>
        </w:tc>
        <w:tc>
          <w:tcPr>
            <w:tcW w:w="1368" w:type="dxa"/>
          </w:tcPr>
          <w:p w:rsidR="0049537E" w:rsidRDefault="0049537E" w:rsidP="008F1B84">
            <w:pPr>
              <w:tabs>
                <w:tab w:val="left" w:pos="2880"/>
              </w:tabs>
              <w:jc w:val="center"/>
            </w:pPr>
            <w:r>
              <w:t>(106)</w:t>
            </w:r>
          </w:p>
        </w:tc>
      </w:tr>
      <w:tr w:rsidR="0049537E" w:rsidTr="008F1B84">
        <w:tc>
          <w:tcPr>
            <w:tcW w:w="3690" w:type="dxa"/>
          </w:tcPr>
          <w:p w:rsidR="0049537E" w:rsidRDefault="0049537E" w:rsidP="008F1B84">
            <w:pPr>
              <w:tabs>
                <w:tab w:val="left" w:pos="2880"/>
              </w:tabs>
              <w:jc w:val="both"/>
            </w:pPr>
            <w:r>
              <w:t xml:space="preserve">- Discontinued operation </w:t>
            </w:r>
          </w:p>
        </w:tc>
        <w:tc>
          <w:tcPr>
            <w:tcW w:w="1350" w:type="dxa"/>
          </w:tcPr>
          <w:p w:rsidR="0049537E" w:rsidRDefault="0049537E" w:rsidP="008F1B84">
            <w:pPr>
              <w:tabs>
                <w:tab w:val="left" w:pos="2880"/>
              </w:tabs>
              <w:jc w:val="right"/>
            </w:pPr>
            <w:r>
              <w:t>12.17</w:t>
            </w:r>
          </w:p>
        </w:tc>
        <w:tc>
          <w:tcPr>
            <w:tcW w:w="1260" w:type="dxa"/>
          </w:tcPr>
          <w:p w:rsidR="0049537E" w:rsidRDefault="0049537E" w:rsidP="008F1B84">
            <w:pPr>
              <w:tabs>
                <w:tab w:val="left" w:pos="2880"/>
              </w:tabs>
              <w:jc w:val="right"/>
            </w:pPr>
            <w:r>
              <w:t>8.96</w:t>
            </w:r>
          </w:p>
        </w:tc>
        <w:tc>
          <w:tcPr>
            <w:tcW w:w="1080" w:type="dxa"/>
          </w:tcPr>
          <w:p w:rsidR="0049537E" w:rsidRDefault="0049537E" w:rsidP="008F1B84">
            <w:pPr>
              <w:tabs>
                <w:tab w:val="left" w:pos="2880"/>
              </w:tabs>
              <w:jc w:val="right"/>
            </w:pPr>
            <w:r>
              <w:t>3.21</w:t>
            </w:r>
          </w:p>
        </w:tc>
        <w:tc>
          <w:tcPr>
            <w:tcW w:w="1368" w:type="dxa"/>
          </w:tcPr>
          <w:p w:rsidR="0049537E" w:rsidRDefault="0049537E" w:rsidP="008F1B84">
            <w:pPr>
              <w:tabs>
                <w:tab w:val="left" w:pos="2880"/>
              </w:tabs>
              <w:jc w:val="center"/>
            </w:pPr>
            <w:r>
              <w:t>36</w:t>
            </w:r>
          </w:p>
        </w:tc>
      </w:tr>
      <w:tr w:rsidR="0049537E" w:rsidTr="008F1B84">
        <w:tc>
          <w:tcPr>
            <w:tcW w:w="3690" w:type="dxa"/>
          </w:tcPr>
          <w:p w:rsidR="0049537E" w:rsidRPr="0049537E" w:rsidRDefault="0049537E" w:rsidP="008F1B84">
            <w:pPr>
              <w:tabs>
                <w:tab w:val="left" w:pos="2880"/>
              </w:tabs>
              <w:jc w:val="both"/>
            </w:pPr>
            <w:r w:rsidRPr="0049537E">
              <w:t>Profit, net of tax</w:t>
            </w:r>
          </w:p>
        </w:tc>
        <w:tc>
          <w:tcPr>
            <w:tcW w:w="1350" w:type="dxa"/>
          </w:tcPr>
          <w:p w:rsidR="0049537E" w:rsidRDefault="0049537E" w:rsidP="008F1B84">
            <w:pPr>
              <w:tabs>
                <w:tab w:val="left" w:pos="2880"/>
              </w:tabs>
              <w:jc w:val="right"/>
            </w:pPr>
            <w:r>
              <w:t>6.76</w:t>
            </w:r>
          </w:p>
        </w:tc>
        <w:tc>
          <w:tcPr>
            <w:tcW w:w="1260" w:type="dxa"/>
          </w:tcPr>
          <w:p w:rsidR="0049537E" w:rsidRDefault="0049537E" w:rsidP="008F1B84">
            <w:pPr>
              <w:tabs>
                <w:tab w:val="left" w:pos="2880"/>
              </w:tabs>
              <w:jc w:val="right"/>
            </w:pPr>
            <w:r>
              <w:t>96.91</w:t>
            </w:r>
          </w:p>
        </w:tc>
        <w:tc>
          <w:tcPr>
            <w:tcW w:w="1080" w:type="dxa"/>
          </w:tcPr>
          <w:p w:rsidR="0049537E" w:rsidRDefault="0049537E" w:rsidP="008F1B84">
            <w:pPr>
              <w:tabs>
                <w:tab w:val="left" w:pos="2880"/>
              </w:tabs>
              <w:jc w:val="right"/>
            </w:pPr>
            <w:r>
              <w:t>(90.15)</w:t>
            </w:r>
          </w:p>
        </w:tc>
        <w:tc>
          <w:tcPr>
            <w:tcW w:w="1368" w:type="dxa"/>
          </w:tcPr>
          <w:p w:rsidR="0049537E" w:rsidRDefault="0049537E" w:rsidP="008F1B84">
            <w:pPr>
              <w:tabs>
                <w:tab w:val="left" w:pos="2880"/>
              </w:tabs>
              <w:jc w:val="center"/>
            </w:pPr>
            <w:r>
              <w:t>(93)</w:t>
            </w:r>
          </w:p>
        </w:tc>
      </w:tr>
    </w:tbl>
    <w:p w:rsidR="0049537E" w:rsidRDefault="0049537E" w:rsidP="0049537E">
      <w:pPr>
        <w:ind w:left="720"/>
        <w:jc w:val="both"/>
      </w:pPr>
    </w:p>
    <w:p w:rsidR="0049537E" w:rsidRPr="00886B1F" w:rsidRDefault="0049537E" w:rsidP="0049537E">
      <w:pPr>
        <w:tabs>
          <w:tab w:val="left" w:pos="2880"/>
        </w:tabs>
        <w:ind w:left="720"/>
        <w:jc w:val="both"/>
        <w:rPr>
          <w:u w:val="single"/>
        </w:rPr>
      </w:pPr>
      <w:r w:rsidRPr="00886B1F">
        <w:rPr>
          <w:u w:val="single"/>
        </w:rPr>
        <w:t>Period ended 30 June 2012</w:t>
      </w:r>
    </w:p>
    <w:p w:rsidR="0049537E" w:rsidRDefault="0049537E" w:rsidP="0049537E">
      <w:pPr>
        <w:tabs>
          <w:tab w:val="left" w:pos="2880"/>
        </w:tabs>
        <w:ind w:left="720"/>
        <w:jc w:val="both"/>
      </w:pPr>
    </w:p>
    <w:p w:rsidR="0049537E" w:rsidRDefault="0049537E" w:rsidP="0049537E">
      <w:pPr>
        <w:tabs>
          <w:tab w:val="left" w:pos="2880"/>
        </w:tabs>
        <w:ind w:left="720"/>
        <w:jc w:val="both"/>
      </w:pPr>
      <w:r>
        <w:t xml:space="preserve">For the period ended 30 June 2012, the Group’s performance is as below:- </w:t>
      </w:r>
    </w:p>
    <w:p w:rsidR="0049537E" w:rsidRDefault="0049537E" w:rsidP="0049537E">
      <w:pPr>
        <w:tabs>
          <w:tab w:val="left" w:pos="2880"/>
        </w:tabs>
        <w:jc w:val="both"/>
      </w:pPr>
      <w:r>
        <w:tab/>
      </w:r>
      <w:r>
        <w:tab/>
      </w:r>
      <w:r>
        <w:tab/>
      </w:r>
    </w:p>
    <w:tbl>
      <w:tblPr>
        <w:tblStyle w:val="TableGrid"/>
        <w:tblW w:w="0" w:type="auto"/>
        <w:tblInd w:w="828" w:type="dxa"/>
        <w:tblLook w:val="04A0"/>
      </w:tblPr>
      <w:tblGrid>
        <w:gridCol w:w="3690"/>
        <w:gridCol w:w="1350"/>
        <w:gridCol w:w="1260"/>
        <w:gridCol w:w="1080"/>
        <w:gridCol w:w="1368"/>
      </w:tblGrid>
      <w:tr w:rsidR="0049537E" w:rsidTr="008F1B84">
        <w:tc>
          <w:tcPr>
            <w:tcW w:w="3690" w:type="dxa"/>
          </w:tcPr>
          <w:p w:rsidR="0049537E" w:rsidRPr="004932F6" w:rsidRDefault="0049537E" w:rsidP="0049537E">
            <w:pPr>
              <w:pStyle w:val="ListParagraph"/>
              <w:numPr>
                <w:ilvl w:val="0"/>
                <w:numId w:val="30"/>
              </w:numPr>
              <w:tabs>
                <w:tab w:val="left" w:pos="2880"/>
              </w:tabs>
              <w:jc w:val="both"/>
              <w:rPr>
                <w:b/>
              </w:rPr>
            </w:pPr>
            <w:r w:rsidRPr="004932F6">
              <w:rPr>
                <w:b/>
              </w:rPr>
              <w:t>Revenue</w:t>
            </w:r>
          </w:p>
        </w:tc>
        <w:tc>
          <w:tcPr>
            <w:tcW w:w="1350" w:type="dxa"/>
          </w:tcPr>
          <w:p w:rsidR="0049537E" w:rsidRDefault="0049537E" w:rsidP="008F1B84">
            <w:pPr>
              <w:tabs>
                <w:tab w:val="left" w:pos="2880"/>
              </w:tabs>
              <w:jc w:val="center"/>
            </w:pPr>
            <w:r>
              <w:t xml:space="preserve">Year to date </w:t>
            </w:r>
          </w:p>
          <w:p w:rsidR="0049537E" w:rsidRDefault="0049537E" w:rsidP="008F1B84">
            <w:pPr>
              <w:tabs>
                <w:tab w:val="left" w:pos="2880"/>
              </w:tabs>
              <w:jc w:val="center"/>
            </w:pPr>
            <w:r>
              <w:t>Q2 2012</w:t>
            </w:r>
          </w:p>
        </w:tc>
        <w:tc>
          <w:tcPr>
            <w:tcW w:w="1260" w:type="dxa"/>
          </w:tcPr>
          <w:p w:rsidR="0049537E" w:rsidRDefault="0049537E" w:rsidP="008F1B84">
            <w:pPr>
              <w:tabs>
                <w:tab w:val="left" w:pos="2880"/>
              </w:tabs>
              <w:jc w:val="center"/>
            </w:pPr>
            <w:r>
              <w:t>Year to date</w:t>
            </w:r>
          </w:p>
          <w:p w:rsidR="0049537E" w:rsidRDefault="0049537E" w:rsidP="008F1B84">
            <w:pPr>
              <w:tabs>
                <w:tab w:val="left" w:pos="2880"/>
              </w:tabs>
              <w:jc w:val="center"/>
            </w:pPr>
            <w:r>
              <w:t>Q2 2011</w:t>
            </w:r>
          </w:p>
        </w:tc>
        <w:tc>
          <w:tcPr>
            <w:tcW w:w="2448" w:type="dxa"/>
            <w:gridSpan w:val="2"/>
          </w:tcPr>
          <w:p w:rsidR="0049537E" w:rsidRDefault="0049537E" w:rsidP="008F1B84">
            <w:pPr>
              <w:tabs>
                <w:tab w:val="left" w:pos="2880"/>
              </w:tabs>
              <w:jc w:val="center"/>
            </w:pPr>
            <w:r>
              <w:t xml:space="preserve">Increase </w:t>
            </w:r>
          </w:p>
        </w:tc>
      </w:tr>
      <w:tr w:rsidR="0049537E" w:rsidTr="008F1B84">
        <w:tc>
          <w:tcPr>
            <w:tcW w:w="3690" w:type="dxa"/>
          </w:tcPr>
          <w:p w:rsidR="0049537E" w:rsidRDefault="0049537E" w:rsidP="008F1B84">
            <w:pPr>
              <w:tabs>
                <w:tab w:val="left" w:pos="2880"/>
              </w:tabs>
              <w:jc w:val="both"/>
            </w:pPr>
          </w:p>
        </w:tc>
        <w:tc>
          <w:tcPr>
            <w:tcW w:w="1350" w:type="dxa"/>
          </w:tcPr>
          <w:p w:rsidR="0049537E" w:rsidRDefault="0049537E" w:rsidP="008F1B84">
            <w:pPr>
              <w:tabs>
                <w:tab w:val="left" w:pos="2880"/>
              </w:tabs>
              <w:jc w:val="center"/>
            </w:pPr>
            <w:proofErr w:type="spellStart"/>
            <w:r>
              <w:t>RM’mil</w:t>
            </w:r>
            <w:proofErr w:type="spellEnd"/>
          </w:p>
        </w:tc>
        <w:tc>
          <w:tcPr>
            <w:tcW w:w="1260" w:type="dxa"/>
          </w:tcPr>
          <w:p w:rsidR="0049537E" w:rsidRDefault="0049537E" w:rsidP="008F1B84">
            <w:pPr>
              <w:tabs>
                <w:tab w:val="left" w:pos="2880"/>
              </w:tabs>
              <w:jc w:val="center"/>
            </w:pPr>
            <w:proofErr w:type="spellStart"/>
            <w:r>
              <w:t>RM’mil</w:t>
            </w:r>
            <w:proofErr w:type="spellEnd"/>
          </w:p>
        </w:tc>
        <w:tc>
          <w:tcPr>
            <w:tcW w:w="1080" w:type="dxa"/>
          </w:tcPr>
          <w:p w:rsidR="0049537E" w:rsidRDefault="0049537E" w:rsidP="008F1B84">
            <w:pPr>
              <w:tabs>
                <w:tab w:val="left" w:pos="2880"/>
              </w:tabs>
              <w:jc w:val="center"/>
            </w:pPr>
            <w:proofErr w:type="spellStart"/>
            <w:r>
              <w:t>RM’mil</w:t>
            </w:r>
            <w:proofErr w:type="spellEnd"/>
          </w:p>
        </w:tc>
        <w:tc>
          <w:tcPr>
            <w:tcW w:w="1368" w:type="dxa"/>
          </w:tcPr>
          <w:p w:rsidR="0049537E" w:rsidRDefault="0049537E" w:rsidP="008F1B84">
            <w:pPr>
              <w:tabs>
                <w:tab w:val="left" w:pos="2880"/>
              </w:tabs>
              <w:jc w:val="center"/>
            </w:pPr>
            <w:r>
              <w:t>%</w:t>
            </w:r>
          </w:p>
        </w:tc>
      </w:tr>
      <w:tr w:rsidR="0049537E" w:rsidTr="008F1B84">
        <w:tc>
          <w:tcPr>
            <w:tcW w:w="3690" w:type="dxa"/>
          </w:tcPr>
          <w:p w:rsidR="0049537E" w:rsidRDefault="0049537E" w:rsidP="008F1B84">
            <w:pPr>
              <w:tabs>
                <w:tab w:val="left" w:pos="2880"/>
              </w:tabs>
              <w:jc w:val="both"/>
            </w:pPr>
            <w:r>
              <w:t>Continuing operations</w:t>
            </w:r>
          </w:p>
        </w:tc>
        <w:tc>
          <w:tcPr>
            <w:tcW w:w="1350" w:type="dxa"/>
          </w:tcPr>
          <w:p w:rsidR="0049537E" w:rsidRDefault="0049537E" w:rsidP="008F1B84">
            <w:pPr>
              <w:tabs>
                <w:tab w:val="left" w:pos="2880"/>
              </w:tabs>
              <w:jc w:val="right"/>
            </w:pPr>
            <w:r>
              <w:t>1,214.43</w:t>
            </w:r>
          </w:p>
        </w:tc>
        <w:tc>
          <w:tcPr>
            <w:tcW w:w="1260" w:type="dxa"/>
          </w:tcPr>
          <w:p w:rsidR="0049537E" w:rsidRDefault="0049537E" w:rsidP="008F1B84">
            <w:pPr>
              <w:tabs>
                <w:tab w:val="left" w:pos="2880"/>
              </w:tabs>
              <w:jc w:val="right"/>
            </w:pPr>
            <w:r>
              <w:t>993.56</w:t>
            </w:r>
          </w:p>
        </w:tc>
        <w:tc>
          <w:tcPr>
            <w:tcW w:w="1080" w:type="dxa"/>
          </w:tcPr>
          <w:p w:rsidR="0049537E" w:rsidRDefault="0049537E" w:rsidP="008F1B84">
            <w:pPr>
              <w:tabs>
                <w:tab w:val="left" w:pos="2880"/>
              </w:tabs>
              <w:jc w:val="right"/>
            </w:pPr>
            <w:r>
              <w:t>220.87</w:t>
            </w:r>
          </w:p>
        </w:tc>
        <w:tc>
          <w:tcPr>
            <w:tcW w:w="1368" w:type="dxa"/>
          </w:tcPr>
          <w:p w:rsidR="0049537E" w:rsidRDefault="0049537E" w:rsidP="008F1B84">
            <w:pPr>
              <w:tabs>
                <w:tab w:val="left" w:pos="2880"/>
              </w:tabs>
              <w:jc w:val="center"/>
            </w:pPr>
            <w:r>
              <w:t>22</w:t>
            </w:r>
          </w:p>
        </w:tc>
      </w:tr>
      <w:tr w:rsidR="0049537E" w:rsidTr="008F1B84">
        <w:tc>
          <w:tcPr>
            <w:tcW w:w="3690" w:type="dxa"/>
          </w:tcPr>
          <w:p w:rsidR="0049537E" w:rsidRDefault="0049537E" w:rsidP="008F1B84">
            <w:pPr>
              <w:tabs>
                <w:tab w:val="left" w:pos="2880"/>
              </w:tabs>
              <w:jc w:val="both"/>
            </w:pPr>
            <w:r>
              <w:t>Discontinued operation</w:t>
            </w:r>
          </w:p>
        </w:tc>
        <w:tc>
          <w:tcPr>
            <w:tcW w:w="1350" w:type="dxa"/>
          </w:tcPr>
          <w:p w:rsidR="0049537E" w:rsidRDefault="0049537E" w:rsidP="008F1B84">
            <w:pPr>
              <w:tabs>
                <w:tab w:val="left" w:pos="2880"/>
              </w:tabs>
              <w:jc w:val="right"/>
            </w:pPr>
            <w:r>
              <w:t>118.84</w:t>
            </w:r>
          </w:p>
        </w:tc>
        <w:tc>
          <w:tcPr>
            <w:tcW w:w="1260" w:type="dxa"/>
          </w:tcPr>
          <w:p w:rsidR="0049537E" w:rsidRDefault="0049537E" w:rsidP="008F1B84">
            <w:pPr>
              <w:tabs>
                <w:tab w:val="left" w:pos="2880"/>
              </w:tabs>
              <w:jc w:val="right"/>
            </w:pPr>
            <w:r>
              <w:t>116.55</w:t>
            </w:r>
          </w:p>
        </w:tc>
        <w:tc>
          <w:tcPr>
            <w:tcW w:w="1080" w:type="dxa"/>
          </w:tcPr>
          <w:p w:rsidR="0049537E" w:rsidRDefault="0049537E" w:rsidP="008F1B84">
            <w:pPr>
              <w:tabs>
                <w:tab w:val="left" w:pos="2880"/>
              </w:tabs>
              <w:jc w:val="right"/>
            </w:pPr>
            <w:r>
              <w:t>2.29</w:t>
            </w:r>
          </w:p>
        </w:tc>
        <w:tc>
          <w:tcPr>
            <w:tcW w:w="1368" w:type="dxa"/>
          </w:tcPr>
          <w:p w:rsidR="0049537E" w:rsidRDefault="0049537E" w:rsidP="008F1B84">
            <w:pPr>
              <w:tabs>
                <w:tab w:val="left" w:pos="2880"/>
              </w:tabs>
              <w:jc w:val="center"/>
            </w:pPr>
            <w:r>
              <w:t>2</w:t>
            </w:r>
          </w:p>
        </w:tc>
      </w:tr>
      <w:tr w:rsidR="0049537E" w:rsidTr="008F1B84">
        <w:tc>
          <w:tcPr>
            <w:tcW w:w="3690" w:type="dxa"/>
          </w:tcPr>
          <w:p w:rsidR="0049537E" w:rsidRDefault="0049537E" w:rsidP="008F1B84">
            <w:pPr>
              <w:tabs>
                <w:tab w:val="left" w:pos="2880"/>
              </w:tabs>
              <w:jc w:val="both"/>
            </w:pPr>
            <w:r>
              <w:t xml:space="preserve">Total </w:t>
            </w:r>
          </w:p>
        </w:tc>
        <w:tc>
          <w:tcPr>
            <w:tcW w:w="1350" w:type="dxa"/>
          </w:tcPr>
          <w:p w:rsidR="0049537E" w:rsidRDefault="0049537E" w:rsidP="008F1B84">
            <w:pPr>
              <w:tabs>
                <w:tab w:val="left" w:pos="2880"/>
              </w:tabs>
              <w:jc w:val="right"/>
            </w:pPr>
            <w:r>
              <w:t>1,333.27</w:t>
            </w:r>
          </w:p>
        </w:tc>
        <w:tc>
          <w:tcPr>
            <w:tcW w:w="1260" w:type="dxa"/>
          </w:tcPr>
          <w:p w:rsidR="0049537E" w:rsidRDefault="0049537E" w:rsidP="008F1B84">
            <w:pPr>
              <w:tabs>
                <w:tab w:val="left" w:pos="2880"/>
              </w:tabs>
              <w:jc w:val="right"/>
            </w:pPr>
            <w:r>
              <w:t>1,110.11</w:t>
            </w:r>
          </w:p>
        </w:tc>
        <w:tc>
          <w:tcPr>
            <w:tcW w:w="1080" w:type="dxa"/>
          </w:tcPr>
          <w:p w:rsidR="0049537E" w:rsidRDefault="0049537E" w:rsidP="008F1B84">
            <w:pPr>
              <w:tabs>
                <w:tab w:val="left" w:pos="2880"/>
              </w:tabs>
              <w:jc w:val="right"/>
            </w:pPr>
            <w:r>
              <w:t>223.16</w:t>
            </w:r>
          </w:p>
        </w:tc>
        <w:tc>
          <w:tcPr>
            <w:tcW w:w="1368" w:type="dxa"/>
          </w:tcPr>
          <w:p w:rsidR="0049537E" w:rsidRDefault="0049537E" w:rsidP="008F1B84">
            <w:pPr>
              <w:tabs>
                <w:tab w:val="left" w:pos="2880"/>
              </w:tabs>
              <w:jc w:val="center"/>
            </w:pPr>
            <w:r>
              <w:t>20</w:t>
            </w:r>
          </w:p>
        </w:tc>
      </w:tr>
    </w:tbl>
    <w:p w:rsidR="0049537E" w:rsidRDefault="0049537E" w:rsidP="0049537E">
      <w:pPr>
        <w:tabs>
          <w:tab w:val="left" w:pos="2880"/>
        </w:tabs>
        <w:ind w:left="720"/>
        <w:jc w:val="both"/>
      </w:pPr>
    </w:p>
    <w:p w:rsidR="0049537E" w:rsidRDefault="0049537E" w:rsidP="0049537E">
      <w:pPr>
        <w:tabs>
          <w:tab w:val="left" w:pos="2880"/>
        </w:tabs>
        <w:ind w:left="720"/>
        <w:jc w:val="both"/>
      </w:pPr>
      <w:r>
        <w:t>As with the current quarter, t</w:t>
      </w:r>
      <w:r w:rsidRPr="007722E2">
        <w:t xml:space="preserve">he </w:t>
      </w:r>
      <w:r>
        <w:t>i</w:t>
      </w:r>
      <w:r w:rsidRPr="007722E2">
        <w:t xml:space="preserve">ncreased revenue </w:t>
      </w:r>
      <w:r>
        <w:t xml:space="preserve">for the first six months ended 30 June 2012 </w:t>
      </w:r>
      <w:r w:rsidRPr="007722E2">
        <w:t xml:space="preserve">was principally attributed to the </w:t>
      </w:r>
      <w:r>
        <w:t>higher</w:t>
      </w:r>
      <w:r w:rsidRPr="007722E2">
        <w:t xml:space="preserve"> contributions from the South Pacific operations</w:t>
      </w:r>
      <w:r>
        <w:t xml:space="preserve"> - </w:t>
      </w:r>
      <w:r w:rsidRPr="007722E2">
        <w:t>Papua New Guinea</w:t>
      </w:r>
      <w:r>
        <w:t xml:space="preserve"> (RM173.77 million) mainly from its Automotive segment (RM180.76 million) boosted by the stronger Kina relative to Malaysian Ringgit and </w:t>
      </w:r>
      <w:r w:rsidRPr="007722E2">
        <w:t>from</w:t>
      </w:r>
      <w:r>
        <w:t xml:space="preserve"> Fiji (RM51.61 million) contributed by its Retail &amp; Wholesale and Automotive segments. </w:t>
      </w:r>
    </w:p>
    <w:p w:rsidR="0049537E" w:rsidRDefault="0049537E" w:rsidP="0049537E">
      <w:pPr>
        <w:tabs>
          <w:tab w:val="left" w:pos="2880"/>
        </w:tabs>
        <w:ind w:left="720"/>
        <w:jc w:val="both"/>
      </w:pPr>
    </w:p>
    <w:tbl>
      <w:tblPr>
        <w:tblStyle w:val="TableGrid"/>
        <w:tblW w:w="0" w:type="auto"/>
        <w:tblInd w:w="828" w:type="dxa"/>
        <w:tblLook w:val="04A0"/>
      </w:tblPr>
      <w:tblGrid>
        <w:gridCol w:w="3690"/>
        <w:gridCol w:w="1350"/>
        <w:gridCol w:w="1260"/>
        <w:gridCol w:w="1080"/>
        <w:gridCol w:w="1368"/>
      </w:tblGrid>
      <w:tr w:rsidR="0049537E" w:rsidTr="008F1B84">
        <w:tc>
          <w:tcPr>
            <w:tcW w:w="3690" w:type="dxa"/>
          </w:tcPr>
          <w:p w:rsidR="0049537E" w:rsidRPr="004932F6" w:rsidRDefault="0049537E" w:rsidP="0049537E">
            <w:pPr>
              <w:pStyle w:val="ListParagraph"/>
              <w:numPr>
                <w:ilvl w:val="0"/>
                <w:numId w:val="30"/>
              </w:numPr>
              <w:tabs>
                <w:tab w:val="left" w:pos="2880"/>
              </w:tabs>
              <w:jc w:val="both"/>
              <w:rPr>
                <w:b/>
              </w:rPr>
            </w:pPr>
            <w:r w:rsidRPr="004932F6">
              <w:rPr>
                <w:b/>
              </w:rPr>
              <w:t xml:space="preserve">Results </w:t>
            </w:r>
          </w:p>
        </w:tc>
        <w:tc>
          <w:tcPr>
            <w:tcW w:w="1350" w:type="dxa"/>
          </w:tcPr>
          <w:p w:rsidR="0049537E" w:rsidRDefault="0049537E" w:rsidP="008F1B84">
            <w:pPr>
              <w:tabs>
                <w:tab w:val="left" w:pos="2880"/>
              </w:tabs>
              <w:jc w:val="center"/>
            </w:pPr>
            <w:r>
              <w:t>Year to date</w:t>
            </w:r>
          </w:p>
          <w:p w:rsidR="0049537E" w:rsidRDefault="0049537E" w:rsidP="008F1B84">
            <w:pPr>
              <w:tabs>
                <w:tab w:val="left" w:pos="2880"/>
              </w:tabs>
              <w:jc w:val="center"/>
            </w:pPr>
            <w:r>
              <w:t>Q2 2012</w:t>
            </w:r>
          </w:p>
        </w:tc>
        <w:tc>
          <w:tcPr>
            <w:tcW w:w="1260" w:type="dxa"/>
          </w:tcPr>
          <w:p w:rsidR="0049537E" w:rsidRDefault="0049537E" w:rsidP="008F1B84">
            <w:pPr>
              <w:tabs>
                <w:tab w:val="left" w:pos="2880"/>
              </w:tabs>
              <w:jc w:val="center"/>
            </w:pPr>
            <w:r>
              <w:t>Year to date</w:t>
            </w:r>
          </w:p>
          <w:p w:rsidR="0049537E" w:rsidRDefault="0049537E" w:rsidP="008F1B84">
            <w:pPr>
              <w:tabs>
                <w:tab w:val="left" w:pos="2880"/>
              </w:tabs>
              <w:jc w:val="center"/>
            </w:pPr>
            <w:r>
              <w:t>Q2 201</w:t>
            </w:r>
            <w:r w:rsidR="0076101D">
              <w:t>1</w:t>
            </w:r>
          </w:p>
        </w:tc>
        <w:tc>
          <w:tcPr>
            <w:tcW w:w="2448" w:type="dxa"/>
            <w:gridSpan w:val="2"/>
          </w:tcPr>
          <w:p w:rsidR="0049537E" w:rsidRDefault="004E21B0" w:rsidP="008F1B84">
            <w:pPr>
              <w:tabs>
                <w:tab w:val="left" w:pos="2880"/>
              </w:tabs>
              <w:jc w:val="center"/>
            </w:pPr>
            <w:r>
              <w:t>Increase/(Decrease)</w:t>
            </w:r>
          </w:p>
        </w:tc>
      </w:tr>
      <w:tr w:rsidR="0049537E" w:rsidTr="008F1B84">
        <w:tc>
          <w:tcPr>
            <w:tcW w:w="3690" w:type="dxa"/>
          </w:tcPr>
          <w:p w:rsidR="0049537E" w:rsidRDefault="0049537E" w:rsidP="008F1B84">
            <w:pPr>
              <w:tabs>
                <w:tab w:val="left" w:pos="2880"/>
              </w:tabs>
              <w:jc w:val="both"/>
            </w:pPr>
          </w:p>
        </w:tc>
        <w:tc>
          <w:tcPr>
            <w:tcW w:w="1350" w:type="dxa"/>
          </w:tcPr>
          <w:p w:rsidR="0049537E" w:rsidRDefault="0049537E" w:rsidP="008F1B84">
            <w:pPr>
              <w:tabs>
                <w:tab w:val="left" w:pos="2880"/>
              </w:tabs>
              <w:jc w:val="center"/>
            </w:pPr>
            <w:proofErr w:type="spellStart"/>
            <w:r>
              <w:t>RM’mil</w:t>
            </w:r>
            <w:proofErr w:type="spellEnd"/>
          </w:p>
        </w:tc>
        <w:tc>
          <w:tcPr>
            <w:tcW w:w="1260" w:type="dxa"/>
          </w:tcPr>
          <w:p w:rsidR="0049537E" w:rsidRDefault="0049537E" w:rsidP="008F1B84">
            <w:pPr>
              <w:tabs>
                <w:tab w:val="left" w:pos="2880"/>
              </w:tabs>
              <w:jc w:val="center"/>
            </w:pPr>
            <w:proofErr w:type="spellStart"/>
            <w:r>
              <w:t>RM’mil</w:t>
            </w:r>
            <w:proofErr w:type="spellEnd"/>
          </w:p>
        </w:tc>
        <w:tc>
          <w:tcPr>
            <w:tcW w:w="1080" w:type="dxa"/>
          </w:tcPr>
          <w:p w:rsidR="0049537E" w:rsidRDefault="0049537E" w:rsidP="008F1B84">
            <w:pPr>
              <w:tabs>
                <w:tab w:val="left" w:pos="2880"/>
              </w:tabs>
              <w:jc w:val="center"/>
            </w:pPr>
            <w:proofErr w:type="spellStart"/>
            <w:r>
              <w:t>RM’mil</w:t>
            </w:r>
            <w:proofErr w:type="spellEnd"/>
          </w:p>
        </w:tc>
        <w:tc>
          <w:tcPr>
            <w:tcW w:w="1368" w:type="dxa"/>
          </w:tcPr>
          <w:p w:rsidR="0049537E" w:rsidRDefault="0049537E" w:rsidP="008F1B84">
            <w:pPr>
              <w:tabs>
                <w:tab w:val="left" w:pos="2880"/>
              </w:tabs>
              <w:jc w:val="center"/>
            </w:pPr>
            <w:r>
              <w:t>%</w:t>
            </w:r>
          </w:p>
        </w:tc>
      </w:tr>
      <w:tr w:rsidR="0049537E" w:rsidTr="008F1B84">
        <w:tc>
          <w:tcPr>
            <w:tcW w:w="3690" w:type="dxa"/>
          </w:tcPr>
          <w:p w:rsidR="0049537E" w:rsidRPr="00B37F63" w:rsidRDefault="0049537E" w:rsidP="008F1B84">
            <w:pPr>
              <w:tabs>
                <w:tab w:val="left" w:pos="2880"/>
              </w:tabs>
              <w:jc w:val="both"/>
              <w:rPr>
                <w:b/>
              </w:rPr>
            </w:pPr>
            <w:r w:rsidRPr="00B37F63">
              <w:rPr>
                <w:b/>
              </w:rPr>
              <w:t>Profit before tax &amp; non-recurring items</w:t>
            </w:r>
          </w:p>
        </w:tc>
        <w:tc>
          <w:tcPr>
            <w:tcW w:w="1350" w:type="dxa"/>
          </w:tcPr>
          <w:p w:rsidR="0049537E" w:rsidRDefault="0049537E" w:rsidP="008F1B84">
            <w:pPr>
              <w:tabs>
                <w:tab w:val="left" w:pos="2880"/>
              </w:tabs>
              <w:jc w:val="right"/>
            </w:pPr>
          </w:p>
        </w:tc>
        <w:tc>
          <w:tcPr>
            <w:tcW w:w="1260" w:type="dxa"/>
          </w:tcPr>
          <w:p w:rsidR="0049537E" w:rsidRDefault="0049537E" w:rsidP="008F1B84">
            <w:pPr>
              <w:tabs>
                <w:tab w:val="left" w:pos="2880"/>
              </w:tabs>
              <w:jc w:val="right"/>
            </w:pPr>
          </w:p>
        </w:tc>
        <w:tc>
          <w:tcPr>
            <w:tcW w:w="1080" w:type="dxa"/>
          </w:tcPr>
          <w:p w:rsidR="0049537E" w:rsidRDefault="0049537E" w:rsidP="008F1B84">
            <w:pPr>
              <w:tabs>
                <w:tab w:val="left" w:pos="2880"/>
              </w:tabs>
              <w:jc w:val="right"/>
            </w:pPr>
          </w:p>
        </w:tc>
        <w:tc>
          <w:tcPr>
            <w:tcW w:w="1368" w:type="dxa"/>
          </w:tcPr>
          <w:p w:rsidR="0049537E" w:rsidRDefault="0049537E" w:rsidP="008F1B84">
            <w:pPr>
              <w:tabs>
                <w:tab w:val="left" w:pos="2880"/>
              </w:tabs>
              <w:jc w:val="center"/>
            </w:pPr>
          </w:p>
        </w:tc>
      </w:tr>
      <w:tr w:rsidR="0049537E" w:rsidTr="008F1B84">
        <w:tc>
          <w:tcPr>
            <w:tcW w:w="3690" w:type="dxa"/>
          </w:tcPr>
          <w:p w:rsidR="0049537E" w:rsidRDefault="0049537E" w:rsidP="008F1B84">
            <w:pPr>
              <w:tabs>
                <w:tab w:val="left" w:pos="2880"/>
              </w:tabs>
              <w:jc w:val="both"/>
            </w:pPr>
            <w:r>
              <w:t>- Continuing operations</w:t>
            </w:r>
          </w:p>
        </w:tc>
        <w:tc>
          <w:tcPr>
            <w:tcW w:w="1350" w:type="dxa"/>
          </w:tcPr>
          <w:p w:rsidR="0049537E" w:rsidRDefault="0049537E" w:rsidP="008F1B84">
            <w:pPr>
              <w:tabs>
                <w:tab w:val="left" w:pos="2880"/>
              </w:tabs>
              <w:jc w:val="right"/>
            </w:pPr>
            <w:r>
              <w:t>(19.02)</w:t>
            </w:r>
          </w:p>
        </w:tc>
        <w:tc>
          <w:tcPr>
            <w:tcW w:w="1260" w:type="dxa"/>
          </w:tcPr>
          <w:p w:rsidR="0049537E" w:rsidRDefault="0049537E" w:rsidP="0068214A">
            <w:pPr>
              <w:tabs>
                <w:tab w:val="left" w:pos="2880"/>
              </w:tabs>
              <w:jc w:val="right"/>
            </w:pPr>
            <w:r>
              <w:t>(6.4</w:t>
            </w:r>
            <w:r w:rsidR="0068214A">
              <w:t>2</w:t>
            </w:r>
            <w:r>
              <w:t>)</w:t>
            </w:r>
          </w:p>
        </w:tc>
        <w:tc>
          <w:tcPr>
            <w:tcW w:w="1080" w:type="dxa"/>
          </w:tcPr>
          <w:p w:rsidR="0049537E" w:rsidRDefault="0049537E" w:rsidP="0068214A">
            <w:pPr>
              <w:tabs>
                <w:tab w:val="left" w:pos="2880"/>
              </w:tabs>
              <w:jc w:val="right"/>
            </w:pPr>
            <w:r>
              <w:t>(12.</w:t>
            </w:r>
            <w:r w:rsidR="0068214A">
              <w:t>60</w:t>
            </w:r>
            <w:r>
              <w:t>)</w:t>
            </w:r>
          </w:p>
        </w:tc>
        <w:tc>
          <w:tcPr>
            <w:tcW w:w="1368" w:type="dxa"/>
          </w:tcPr>
          <w:p w:rsidR="0049537E" w:rsidRDefault="0049537E" w:rsidP="008F1B84">
            <w:pPr>
              <w:tabs>
                <w:tab w:val="left" w:pos="2880"/>
              </w:tabs>
              <w:jc w:val="center"/>
            </w:pPr>
            <w:r>
              <w:t>(196)</w:t>
            </w:r>
          </w:p>
        </w:tc>
      </w:tr>
      <w:tr w:rsidR="0049537E" w:rsidTr="008F1B84">
        <w:tc>
          <w:tcPr>
            <w:tcW w:w="3690" w:type="dxa"/>
          </w:tcPr>
          <w:p w:rsidR="0049537E" w:rsidRDefault="0049537E" w:rsidP="008F1B84">
            <w:pPr>
              <w:tabs>
                <w:tab w:val="left" w:pos="2880"/>
              </w:tabs>
              <w:jc w:val="both"/>
            </w:pPr>
            <w:r>
              <w:t xml:space="preserve">- Discontinued operation </w:t>
            </w:r>
          </w:p>
        </w:tc>
        <w:tc>
          <w:tcPr>
            <w:tcW w:w="1350" w:type="dxa"/>
          </w:tcPr>
          <w:p w:rsidR="0049537E" w:rsidRDefault="0049537E" w:rsidP="0076101D">
            <w:pPr>
              <w:tabs>
                <w:tab w:val="left" w:pos="2880"/>
              </w:tabs>
              <w:jc w:val="right"/>
            </w:pPr>
            <w:r>
              <w:t>31.2</w:t>
            </w:r>
            <w:r w:rsidR="0076101D">
              <w:t>4</w:t>
            </w:r>
          </w:p>
        </w:tc>
        <w:tc>
          <w:tcPr>
            <w:tcW w:w="1260" w:type="dxa"/>
          </w:tcPr>
          <w:p w:rsidR="0049537E" w:rsidRDefault="0049537E" w:rsidP="008F1B84">
            <w:pPr>
              <w:tabs>
                <w:tab w:val="left" w:pos="2880"/>
              </w:tabs>
              <w:jc w:val="right"/>
            </w:pPr>
            <w:r>
              <w:t>26.38</w:t>
            </w:r>
          </w:p>
        </w:tc>
        <w:tc>
          <w:tcPr>
            <w:tcW w:w="1080" w:type="dxa"/>
          </w:tcPr>
          <w:p w:rsidR="0049537E" w:rsidRDefault="0068214A" w:rsidP="0068214A">
            <w:pPr>
              <w:tabs>
                <w:tab w:val="left" w:pos="2880"/>
              </w:tabs>
              <w:ind w:right="100"/>
              <w:jc w:val="right"/>
            </w:pPr>
            <w:r>
              <w:t xml:space="preserve">  </w:t>
            </w:r>
            <w:r w:rsidR="0049537E">
              <w:t>4.8</w:t>
            </w:r>
            <w:r w:rsidR="0076101D">
              <w:t>6</w:t>
            </w:r>
          </w:p>
        </w:tc>
        <w:tc>
          <w:tcPr>
            <w:tcW w:w="1368" w:type="dxa"/>
          </w:tcPr>
          <w:p w:rsidR="0049537E" w:rsidRDefault="0049537E" w:rsidP="008F1B84">
            <w:pPr>
              <w:tabs>
                <w:tab w:val="left" w:pos="2880"/>
              </w:tabs>
              <w:jc w:val="center"/>
            </w:pPr>
            <w:r>
              <w:t>18</w:t>
            </w:r>
          </w:p>
        </w:tc>
      </w:tr>
      <w:tr w:rsidR="0049537E" w:rsidTr="008F1B84">
        <w:tc>
          <w:tcPr>
            <w:tcW w:w="3690" w:type="dxa"/>
          </w:tcPr>
          <w:p w:rsidR="0049537E" w:rsidRPr="00B37F63" w:rsidRDefault="0049537E" w:rsidP="008F1B84">
            <w:pPr>
              <w:tabs>
                <w:tab w:val="left" w:pos="2880"/>
              </w:tabs>
              <w:jc w:val="both"/>
              <w:rPr>
                <w:b/>
              </w:rPr>
            </w:pPr>
            <w:r w:rsidRPr="00B37F63">
              <w:rPr>
                <w:b/>
              </w:rPr>
              <w:t>Group’s operating profits</w:t>
            </w:r>
            <w:r>
              <w:rPr>
                <w:b/>
              </w:rPr>
              <w:t xml:space="preserve"> before tax</w:t>
            </w:r>
          </w:p>
        </w:tc>
        <w:tc>
          <w:tcPr>
            <w:tcW w:w="1350" w:type="dxa"/>
          </w:tcPr>
          <w:p w:rsidR="0049537E" w:rsidRDefault="0049537E" w:rsidP="008F1B84">
            <w:pPr>
              <w:tabs>
                <w:tab w:val="left" w:pos="2880"/>
              </w:tabs>
              <w:jc w:val="right"/>
            </w:pPr>
            <w:r>
              <w:t>12.2</w:t>
            </w:r>
            <w:r w:rsidR="0076101D">
              <w:t>2</w:t>
            </w:r>
          </w:p>
        </w:tc>
        <w:tc>
          <w:tcPr>
            <w:tcW w:w="1260" w:type="dxa"/>
          </w:tcPr>
          <w:p w:rsidR="0049537E" w:rsidRDefault="0049537E" w:rsidP="008F1B84">
            <w:pPr>
              <w:tabs>
                <w:tab w:val="left" w:pos="2880"/>
              </w:tabs>
              <w:jc w:val="right"/>
            </w:pPr>
            <w:r>
              <w:t>19.96</w:t>
            </w:r>
          </w:p>
        </w:tc>
        <w:tc>
          <w:tcPr>
            <w:tcW w:w="1080" w:type="dxa"/>
          </w:tcPr>
          <w:p w:rsidR="0049537E" w:rsidRDefault="0049537E" w:rsidP="0076101D">
            <w:pPr>
              <w:tabs>
                <w:tab w:val="left" w:pos="2880"/>
              </w:tabs>
              <w:jc w:val="right"/>
            </w:pPr>
            <w:r>
              <w:t>(7.7</w:t>
            </w:r>
            <w:r w:rsidR="0076101D">
              <w:t>4</w:t>
            </w:r>
            <w:r>
              <w:t>)</w:t>
            </w:r>
          </w:p>
        </w:tc>
        <w:tc>
          <w:tcPr>
            <w:tcW w:w="1368" w:type="dxa"/>
          </w:tcPr>
          <w:p w:rsidR="0049537E" w:rsidRDefault="0049537E" w:rsidP="008F1B84">
            <w:pPr>
              <w:tabs>
                <w:tab w:val="left" w:pos="2880"/>
              </w:tabs>
              <w:jc w:val="center"/>
            </w:pPr>
            <w:r>
              <w:t>(39)</w:t>
            </w:r>
          </w:p>
        </w:tc>
      </w:tr>
      <w:tr w:rsidR="0049537E" w:rsidTr="008F1B84">
        <w:tc>
          <w:tcPr>
            <w:tcW w:w="3690" w:type="dxa"/>
          </w:tcPr>
          <w:p w:rsidR="0049537E" w:rsidRDefault="0049537E" w:rsidP="008F1B84">
            <w:pPr>
              <w:tabs>
                <w:tab w:val="left" w:pos="2880"/>
              </w:tabs>
              <w:jc w:val="both"/>
            </w:pPr>
            <w:r>
              <w:t xml:space="preserve">   Non- recurring items</w:t>
            </w:r>
          </w:p>
        </w:tc>
        <w:tc>
          <w:tcPr>
            <w:tcW w:w="1350" w:type="dxa"/>
          </w:tcPr>
          <w:p w:rsidR="0049537E" w:rsidRDefault="0049537E" w:rsidP="008F1B84">
            <w:pPr>
              <w:tabs>
                <w:tab w:val="left" w:pos="2880"/>
              </w:tabs>
              <w:jc w:val="right"/>
            </w:pPr>
            <w:r>
              <w:t>(0.22)</w:t>
            </w:r>
          </w:p>
        </w:tc>
        <w:tc>
          <w:tcPr>
            <w:tcW w:w="1260" w:type="dxa"/>
          </w:tcPr>
          <w:p w:rsidR="0049537E" w:rsidRDefault="0049537E" w:rsidP="008F1B84">
            <w:pPr>
              <w:tabs>
                <w:tab w:val="left" w:pos="2880"/>
              </w:tabs>
              <w:jc w:val="right"/>
            </w:pPr>
            <w:r>
              <w:t>113.53</w:t>
            </w:r>
          </w:p>
        </w:tc>
        <w:tc>
          <w:tcPr>
            <w:tcW w:w="1080" w:type="dxa"/>
          </w:tcPr>
          <w:p w:rsidR="0049537E" w:rsidRDefault="0049537E" w:rsidP="008F1B84">
            <w:pPr>
              <w:tabs>
                <w:tab w:val="left" w:pos="2880"/>
              </w:tabs>
              <w:jc w:val="right"/>
            </w:pPr>
            <w:r>
              <w:t>(113.75)</w:t>
            </w:r>
          </w:p>
        </w:tc>
        <w:tc>
          <w:tcPr>
            <w:tcW w:w="1368" w:type="dxa"/>
          </w:tcPr>
          <w:p w:rsidR="0049537E" w:rsidRDefault="0049537E" w:rsidP="008F1B84">
            <w:pPr>
              <w:tabs>
                <w:tab w:val="left" w:pos="2880"/>
              </w:tabs>
              <w:jc w:val="center"/>
            </w:pPr>
            <w:r>
              <w:t>(100)</w:t>
            </w:r>
          </w:p>
        </w:tc>
      </w:tr>
      <w:tr w:rsidR="0049537E" w:rsidTr="008F1B84">
        <w:tc>
          <w:tcPr>
            <w:tcW w:w="3690" w:type="dxa"/>
          </w:tcPr>
          <w:p w:rsidR="0049537E" w:rsidRDefault="0049537E" w:rsidP="008F1B84">
            <w:pPr>
              <w:tabs>
                <w:tab w:val="left" w:pos="2880"/>
              </w:tabs>
              <w:jc w:val="both"/>
            </w:pPr>
            <w:r>
              <w:t xml:space="preserve">   Taxation</w:t>
            </w:r>
          </w:p>
        </w:tc>
        <w:tc>
          <w:tcPr>
            <w:tcW w:w="1350" w:type="dxa"/>
          </w:tcPr>
          <w:p w:rsidR="0049537E" w:rsidRDefault="0049537E" w:rsidP="0076101D">
            <w:pPr>
              <w:tabs>
                <w:tab w:val="left" w:pos="2880"/>
              </w:tabs>
              <w:jc w:val="right"/>
            </w:pPr>
            <w:r>
              <w:t>(15.9</w:t>
            </w:r>
            <w:r w:rsidR="0076101D">
              <w:t>7</w:t>
            </w:r>
            <w:r>
              <w:t>)</w:t>
            </w:r>
          </w:p>
        </w:tc>
        <w:tc>
          <w:tcPr>
            <w:tcW w:w="1260" w:type="dxa"/>
          </w:tcPr>
          <w:p w:rsidR="0049537E" w:rsidRDefault="0049537E" w:rsidP="008F1B84">
            <w:pPr>
              <w:tabs>
                <w:tab w:val="left" w:pos="2880"/>
              </w:tabs>
              <w:jc w:val="right"/>
            </w:pPr>
            <w:r>
              <w:t>(28.24)</w:t>
            </w:r>
          </w:p>
        </w:tc>
        <w:tc>
          <w:tcPr>
            <w:tcW w:w="1080" w:type="dxa"/>
          </w:tcPr>
          <w:p w:rsidR="0049537E" w:rsidRDefault="0049537E" w:rsidP="0076101D">
            <w:pPr>
              <w:tabs>
                <w:tab w:val="left" w:pos="2880"/>
              </w:tabs>
              <w:jc w:val="right"/>
            </w:pPr>
            <w:r>
              <w:t>12.2</w:t>
            </w:r>
            <w:r w:rsidR="0076101D">
              <w:t>7</w:t>
            </w:r>
          </w:p>
        </w:tc>
        <w:tc>
          <w:tcPr>
            <w:tcW w:w="1368" w:type="dxa"/>
          </w:tcPr>
          <w:p w:rsidR="0049537E" w:rsidRDefault="0049537E" w:rsidP="008F1B84">
            <w:pPr>
              <w:tabs>
                <w:tab w:val="left" w:pos="2880"/>
              </w:tabs>
              <w:jc w:val="center"/>
            </w:pPr>
            <w:r>
              <w:t>43</w:t>
            </w:r>
          </w:p>
        </w:tc>
      </w:tr>
      <w:tr w:rsidR="0049537E" w:rsidTr="008F1B84">
        <w:tc>
          <w:tcPr>
            <w:tcW w:w="3690" w:type="dxa"/>
          </w:tcPr>
          <w:p w:rsidR="0049537E" w:rsidRPr="00B37F63" w:rsidRDefault="0049537E" w:rsidP="008F1B84">
            <w:pPr>
              <w:tabs>
                <w:tab w:val="left" w:pos="2880"/>
              </w:tabs>
              <w:jc w:val="both"/>
              <w:rPr>
                <w:b/>
              </w:rPr>
            </w:pPr>
            <w:r>
              <w:rPr>
                <w:b/>
              </w:rPr>
              <w:t>(Loss)/P</w:t>
            </w:r>
            <w:r w:rsidRPr="00B37F63">
              <w:rPr>
                <w:b/>
              </w:rPr>
              <w:t>rofit</w:t>
            </w:r>
            <w:r>
              <w:rPr>
                <w:b/>
              </w:rPr>
              <w:t xml:space="preserve">, net of </w:t>
            </w:r>
            <w:r w:rsidRPr="00B37F63">
              <w:rPr>
                <w:b/>
              </w:rPr>
              <w:t>tax</w:t>
            </w:r>
          </w:p>
        </w:tc>
        <w:tc>
          <w:tcPr>
            <w:tcW w:w="1350" w:type="dxa"/>
          </w:tcPr>
          <w:p w:rsidR="0049537E" w:rsidRDefault="0049537E" w:rsidP="008F1B84">
            <w:pPr>
              <w:tabs>
                <w:tab w:val="left" w:pos="2880"/>
              </w:tabs>
              <w:jc w:val="right"/>
            </w:pPr>
            <w:r>
              <w:t>(3.97)</w:t>
            </w:r>
          </w:p>
        </w:tc>
        <w:tc>
          <w:tcPr>
            <w:tcW w:w="1260" w:type="dxa"/>
          </w:tcPr>
          <w:p w:rsidR="0049537E" w:rsidRDefault="0049537E" w:rsidP="008F1B84">
            <w:pPr>
              <w:tabs>
                <w:tab w:val="left" w:pos="2880"/>
              </w:tabs>
              <w:jc w:val="right"/>
            </w:pPr>
            <w:r>
              <w:t>105.25</w:t>
            </w:r>
          </w:p>
        </w:tc>
        <w:tc>
          <w:tcPr>
            <w:tcW w:w="1080" w:type="dxa"/>
          </w:tcPr>
          <w:p w:rsidR="0049537E" w:rsidRDefault="0049537E" w:rsidP="008F1B84">
            <w:pPr>
              <w:tabs>
                <w:tab w:val="left" w:pos="2880"/>
              </w:tabs>
              <w:jc w:val="right"/>
            </w:pPr>
            <w:r>
              <w:t>(109.22)</w:t>
            </w:r>
          </w:p>
        </w:tc>
        <w:tc>
          <w:tcPr>
            <w:tcW w:w="1368" w:type="dxa"/>
          </w:tcPr>
          <w:p w:rsidR="0049537E" w:rsidRDefault="0049537E" w:rsidP="008F1B84">
            <w:pPr>
              <w:tabs>
                <w:tab w:val="left" w:pos="2880"/>
              </w:tabs>
              <w:jc w:val="center"/>
            </w:pPr>
            <w:r>
              <w:t>(104)</w:t>
            </w:r>
          </w:p>
        </w:tc>
      </w:tr>
    </w:tbl>
    <w:p w:rsidR="0049537E" w:rsidRDefault="0049537E" w:rsidP="0049537E">
      <w:pPr>
        <w:tabs>
          <w:tab w:val="left" w:pos="2880"/>
        </w:tabs>
        <w:ind w:left="720"/>
        <w:jc w:val="both"/>
      </w:pPr>
    </w:p>
    <w:p w:rsidR="0049537E" w:rsidRDefault="0049537E" w:rsidP="0049537E">
      <w:pPr>
        <w:ind w:left="720"/>
        <w:jc w:val="both"/>
      </w:pPr>
      <w:r>
        <w:t xml:space="preserve">The Group’s (loss)/profit, net of tax for the period ended 30 June 2012 is </w:t>
      </w:r>
      <w:proofErr w:type="spellStart"/>
      <w:r>
        <w:t>analysed</w:t>
      </w:r>
      <w:proofErr w:type="spellEnd"/>
      <w:r>
        <w:t xml:space="preserve"> </w:t>
      </w:r>
      <w:proofErr w:type="gramStart"/>
      <w:r>
        <w:t>as :</w:t>
      </w:r>
      <w:proofErr w:type="gramEnd"/>
      <w:r>
        <w:t>-</w:t>
      </w:r>
    </w:p>
    <w:p w:rsidR="0049537E" w:rsidRDefault="0049537E" w:rsidP="0049537E">
      <w:pPr>
        <w:ind w:left="720"/>
        <w:jc w:val="both"/>
      </w:pPr>
    </w:p>
    <w:tbl>
      <w:tblPr>
        <w:tblStyle w:val="TableGrid"/>
        <w:tblW w:w="0" w:type="auto"/>
        <w:tblInd w:w="828" w:type="dxa"/>
        <w:tblLook w:val="04A0"/>
      </w:tblPr>
      <w:tblGrid>
        <w:gridCol w:w="3690"/>
        <w:gridCol w:w="1350"/>
        <w:gridCol w:w="1260"/>
        <w:gridCol w:w="1080"/>
        <w:gridCol w:w="1368"/>
      </w:tblGrid>
      <w:tr w:rsidR="0049537E" w:rsidTr="008F1B84">
        <w:tc>
          <w:tcPr>
            <w:tcW w:w="3690" w:type="dxa"/>
          </w:tcPr>
          <w:p w:rsidR="0049537E" w:rsidRPr="00234CF2" w:rsidRDefault="0049537E" w:rsidP="008F1B84">
            <w:pPr>
              <w:tabs>
                <w:tab w:val="left" w:pos="2880"/>
              </w:tabs>
              <w:jc w:val="both"/>
              <w:rPr>
                <w:b/>
              </w:rPr>
            </w:pPr>
          </w:p>
        </w:tc>
        <w:tc>
          <w:tcPr>
            <w:tcW w:w="1350" w:type="dxa"/>
          </w:tcPr>
          <w:p w:rsidR="0049537E" w:rsidRDefault="0049537E" w:rsidP="008F1B84">
            <w:pPr>
              <w:tabs>
                <w:tab w:val="left" w:pos="2880"/>
              </w:tabs>
              <w:jc w:val="center"/>
            </w:pPr>
            <w:r>
              <w:t>Year to date</w:t>
            </w:r>
          </w:p>
          <w:p w:rsidR="0049537E" w:rsidRDefault="0049537E" w:rsidP="008F1B84">
            <w:pPr>
              <w:tabs>
                <w:tab w:val="left" w:pos="2880"/>
              </w:tabs>
              <w:jc w:val="center"/>
            </w:pPr>
            <w:r>
              <w:t>Q2 2012</w:t>
            </w:r>
          </w:p>
        </w:tc>
        <w:tc>
          <w:tcPr>
            <w:tcW w:w="1260" w:type="dxa"/>
          </w:tcPr>
          <w:p w:rsidR="0049537E" w:rsidRDefault="0049537E" w:rsidP="008F1B84">
            <w:pPr>
              <w:tabs>
                <w:tab w:val="left" w:pos="2880"/>
              </w:tabs>
              <w:jc w:val="center"/>
            </w:pPr>
            <w:r>
              <w:t>Year to date</w:t>
            </w:r>
          </w:p>
          <w:p w:rsidR="0049537E" w:rsidRDefault="0049537E" w:rsidP="008F1B84">
            <w:pPr>
              <w:tabs>
                <w:tab w:val="left" w:pos="2880"/>
              </w:tabs>
              <w:jc w:val="center"/>
            </w:pPr>
            <w:r>
              <w:t>Q2 2011</w:t>
            </w:r>
          </w:p>
        </w:tc>
        <w:tc>
          <w:tcPr>
            <w:tcW w:w="2448" w:type="dxa"/>
            <w:gridSpan w:val="2"/>
          </w:tcPr>
          <w:p w:rsidR="0049537E" w:rsidRDefault="0049537E" w:rsidP="008F1B84">
            <w:pPr>
              <w:tabs>
                <w:tab w:val="left" w:pos="2880"/>
              </w:tabs>
              <w:jc w:val="center"/>
            </w:pPr>
            <w:r>
              <w:t>Increase</w:t>
            </w:r>
            <w:r w:rsidR="004E21B0">
              <w:t>/(Decrease)</w:t>
            </w:r>
            <w:r>
              <w:t xml:space="preserve"> </w:t>
            </w:r>
          </w:p>
        </w:tc>
      </w:tr>
      <w:tr w:rsidR="0049537E" w:rsidTr="008F1B84">
        <w:tc>
          <w:tcPr>
            <w:tcW w:w="3690" w:type="dxa"/>
          </w:tcPr>
          <w:p w:rsidR="0049537E" w:rsidRDefault="0049537E" w:rsidP="008F1B84">
            <w:pPr>
              <w:tabs>
                <w:tab w:val="left" w:pos="2880"/>
              </w:tabs>
              <w:jc w:val="both"/>
            </w:pPr>
          </w:p>
        </w:tc>
        <w:tc>
          <w:tcPr>
            <w:tcW w:w="1350" w:type="dxa"/>
          </w:tcPr>
          <w:p w:rsidR="0049537E" w:rsidRDefault="0049537E" w:rsidP="008F1B84">
            <w:pPr>
              <w:tabs>
                <w:tab w:val="left" w:pos="2880"/>
              </w:tabs>
              <w:jc w:val="center"/>
            </w:pPr>
            <w:proofErr w:type="spellStart"/>
            <w:r>
              <w:t>RM’mil</w:t>
            </w:r>
            <w:proofErr w:type="spellEnd"/>
          </w:p>
        </w:tc>
        <w:tc>
          <w:tcPr>
            <w:tcW w:w="1260" w:type="dxa"/>
          </w:tcPr>
          <w:p w:rsidR="0049537E" w:rsidRDefault="0049537E" w:rsidP="008F1B84">
            <w:pPr>
              <w:tabs>
                <w:tab w:val="left" w:pos="2880"/>
              </w:tabs>
              <w:jc w:val="center"/>
            </w:pPr>
            <w:proofErr w:type="spellStart"/>
            <w:r>
              <w:t>RM’mil</w:t>
            </w:r>
            <w:proofErr w:type="spellEnd"/>
          </w:p>
        </w:tc>
        <w:tc>
          <w:tcPr>
            <w:tcW w:w="1080" w:type="dxa"/>
          </w:tcPr>
          <w:p w:rsidR="0049537E" w:rsidRDefault="0049537E" w:rsidP="008F1B84">
            <w:pPr>
              <w:tabs>
                <w:tab w:val="left" w:pos="2880"/>
              </w:tabs>
              <w:jc w:val="center"/>
            </w:pPr>
            <w:proofErr w:type="spellStart"/>
            <w:r>
              <w:t>RM’mil</w:t>
            </w:r>
            <w:proofErr w:type="spellEnd"/>
          </w:p>
        </w:tc>
        <w:tc>
          <w:tcPr>
            <w:tcW w:w="1368" w:type="dxa"/>
          </w:tcPr>
          <w:p w:rsidR="0049537E" w:rsidRDefault="0049537E" w:rsidP="008F1B84">
            <w:pPr>
              <w:tabs>
                <w:tab w:val="left" w:pos="2880"/>
              </w:tabs>
              <w:jc w:val="center"/>
            </w:pPr>
            <w:r>
              <w:t>%</w:t>
            </w:r>
          </w:p>
        </w:tc>
      </w:tr>
      <w:tr w:rsidR="0049537E" w:rsidTr="008F1B84">
        <w:tc>
          <w:tcPr>
            <w:tcW w:w="3690" w:type="dxa"/>
          </w:tcPr>
          <w:p w:rsidR="0049537E" w:rsidRDefault="0049537E" w:rsidP="008F1B84">
            <w:pPr>
              <w:tabs>
                <w:tab w:val="left" w:pos="2880"/>
              </w:tabs>
              <w:jc w:val="both"/>
            </w:pPr>
            <w:r>
              <w:t>- Continuing operations</w:t>
            </w:r>
          </w:p>
        </w:tc>
        <w:tc>
          <w:tcPr>
            <w:tcW w:w="1350" w:type="dxa"/>
          </w:tcPr>
          <w:p w:rsidR="0049537E" w:rsidRDefault="0049537E" w:rsidP="008F1B84">
            <w:pPr>
              <w:tabs>
                <w:tab w:val="left" w:pos="2880"/>
              </w:tabs>
              <w:jc w:val="right"/>
            </w:pPr>
            <w:r>
              <w:t>(27.64)</w:t>
            </w:r>
          </w:p>
        </w:tc>
        <w:tc>
          <w:tcPr>
            <w:tcW w:w="1260" w:type="dxa"/>
          </w:tcPr>
          <w:p w:rsidR="0049537E" w:rsidRDefault="0049537E" w:rsidP="008F1B84">
            <w:pPr>
              <w:tabs>
                <w:tab w:val="left" w:pos="2880"/>
              </w:tabs>
              <w:jc w:val="right"/>
            </w:pPr>
            <w:r>
              <w:t>86.11</w:t>
            </w:r>
          </w:p>
        </w:tc>
        <w:tc>
          <w:tcPr>
            <w:tcW w:w="1080" w:type="dxa"/>
          </w:tcPr>
          <w:p w:rsidR="0049537E" w:rsidRDefault="0049537E" w:rsidP="008F1B84">
            <w:pPr>
              <w:tabs>
                <w:tab w:val="left" w:pos="2880"/>
              </w:tabs>
              <w:jc w:val="right"/>
            </w:pPr>
            <w:r>
              <w:t>(113.75)</w:t>
            </w:r>
          </w:p>
        </w:tc>
        <w:tc>
          <w:tcPr>
            <w:tcW w:w="1368" w:type="dxa"/>
          </w:tcPr>
          <w:p w:rsidR="0049537E" w:rsidRDefault="0049537E" w:rsidP="008F1B84">
            <w:pPr>
              <w:tabs>
                <w:tab w:val="left" w:pos="2880"/>
              </w:tabs>
              <w:jc w:val="center"/>
            </w:pPr>
            <w:r>
              <w:t>(132)</w:t>
            </w:r>
          </w:p>
        </w:tc>
      </w:tr>
      <w:tr w:rsidR="0049537E" w:rsidTr="008F1B84">
        <w:tc>
          <w:tcPr>
            <w:tcW w:w="3690" w:type="dxa"/>
          </w:tcPr>
          <w:p w:rsidR="0049537E" w:rsidRDefault="0049537E" w:rsidP="008F1B84">
            <w:pPr>
              <w:tabs>
                <w:tab w:val="left" w:pos="2880"/>
              </w:tabs>
              <w:jc w:val="both"/>
            </w:pPr>
            <w:r>
              <w:t xml:space="preserve">- Discontinued operation </w:t>
            </w:r>
          </w:p>
        </w:tc>
        <w:tc>
          <w:tcPr>
            <w:tcW w:w="1350" w:type="dxa"/>
          </w:tcPr>
          <w:p w:rsidR="0049537E" w:rsidRDefault="0049537E" w:rsidP="008F1B84">
            <w:pPr>
              <w:tabs>
                <w:tab w:val="left" w:pos="2880"/>
              </w:tabs>
              <w:jc w:val="right"/>
            </w:pPr>
            <w:r>
              <w:t>23.67</w:t>
            </w:r>
          </w:p>
        </w:tc>
        <w:tc>
          <w:tcPr>
            <w:tcW w:w="1260" w:type="dxa"/>
          </w:tcPr>
          <w:p w:rsidR="0049537E" w:rsidRDefault="0049537E" w:rsidP="008F1B84">
            <w:pPr>
              <w:tabs>
                <w:tab w:val="left" w:pos="2880"/>
              </w:tabs>
              <w:jc w:val="right"/>
            </w:pPr>
            <w:r>
              <w:t>19.14</w:t>
            </w:r>
          </w:p>
        </w:tc>
        <w:tc>
          <w:tcPr>
            <w:tcW w:w="1080" w:type="dxa"/>
          </w:tcPr>
          <w:p w:rsidR="0049537E" w:rsidRDefault="0049537E" w:rsidP="008F1B84">
            <w:pPr>
              <w:tabs>
                <w:tab w:val="left" w:pos="2880"/>
              </w:tabs>
              <w:jc w:val="right"/>
            </w:pPr>
            <w:r>
              <w:t>4.53</w:t>
            </w:r>
          </w:p>
        </w:tc>
        <w:tc>
          <w:tcPr>
            <w:tcW w:w="1368" w:type="dxa"/>
          </w:tcPr>
          <w:p w:rsidR="0049537E" w:rsidRDefault="0049537E" w:rsidP="008F1B84">
            <w:pPr>
              <w:tabs>
                <w:tab w:val="left" w:pos="2880"/>
              </w:tabs>
              <w:jc w:val="center"/>
            </w:pPr>
            <w:r>
              <w:t>24</w:t>
            </w:r>
          </w:p>
        </w:tc>
      </w:tr>
      <w:tr w:rsidR="0049537E" w:rsidTr="008F1B84">
        <w:tc>
          <w:tcPr>
            <w:tcW w:w="3690" w:type="dxa"/>
          </w:tcPr>
          <w:p w:rsidR="0049537E" w:rsidRPr="0049537E" w:rsidRDefault="0049537E" w:rsidP="008F1B84">
            <w:pPr>
              <w:tabs>
                <w:tab w:val="left" w:pos="2880"/>
              </w:tabs>
              <w:jc w:val="both"/>
              <w:rPr>
                <w:b/>
              </w:rPr>
            </w:pPr>
            <w:r w:rsidRPr="0049537E">
              <w:rPr>
                <w:b/>
              </w:rPr>
              <w:t>(Loss)/Profit, net of tax</w:t>
            </w:r>
          </w:p>
        </w:tc>
        <w:tc>
          <w:tcPr>
            <w:tcW w:w="1350" w:type="dxa"/>
          </w:tcPr>
          <w:p w:rsidR="0049537E" w:rsidRDefault="0049537E" w:rsidP="008F1B84">
            <w:pPr>
              <w:tabs>
                <w:tab w:val="left" w:pos="2880"/>
              </w:tabs>
              <w:jc w:val="right"/>
            </w:pPr>
            <w:r>
              <w:t>(3.97)</w:t>
            </w:r>
          </w:p>
        </w:tc>
        <w:tc>
          <w:tcPr>
            <w:tcW w:w="1260" w:type="dxa"/>
          </w:tcPr>
          <w:p w:rsidR="0049537E" w:rsidRDefault="0049537E" w:rsidP="008F1B84">
            <w:pPr>
              <w:tabs>
                <w:tab w:val="left" w:pos="2880"/>
              </w:tabs>
              <w:jc w:val="right"/>
            </w:pPr>
            <w:r>
              <w:t>105.25</w:t>
            </w:r>
          </w:p>
        </w:tc>
        <w:tc>
          <w:tcPr>
            <w:tcW w:w="1080" w:type="dxa"/>
          </w:tcPr>
          <w:p w:rsidR="0049537E" w:rsidRDefault="0049537E" w:rsidP="008F1B84">
            <w:pPr>
              <w:tabs>
                <w:tab w:val="left" w:pos="2880"/>
              </w:tabs>
              <w:jc w:val="right"/>
            </w:pPr>
            <w:r>
              <w:t>(109.22)</w:t>
            </w:r>
          </w:p>
        </w:tc>
        <w:tc>
          <w:tcPr>
            <w:tcW w:w="1368" w:type="dxa"/>
          </w:tcPr>
          <w:p w:rsidR="0049537E" w:rsidRDefault="0049537E" w:rsidP="008F1B84">
            <w:pPr>
              <w:tabs>
                <w:tab w:val="left" w:pos="2880"/>
              </w:tabs>
              <w:jc w:val="center"/>
            </w:pPr>
            <w:r>
              <w:t>(104)</w:t>
            </w:r>
          </w:p>
        </w:tc>
      </w:tr>
    </w:tbl>
    <w:p w:rsidR="0049537E" w:rsidRDefault="0049537E" w:rsidP="007344A4">
      <w:pPr>
        <w:tabs>
          <w:tab w:val="left" w:pos="2880"/>
        </w:tabs>
        <w:ind w:left="720"/>
        <w:jc w:val="both"/>
      </w:pPr>
    </w:p>
    <w:p w:rsidR="007344A4" w:rsidRPr="005F7EA8" w:rsidRDefault="007344A4" w:rsidP="007344A4">
      <w:pPr>
        <w:ind w:left="720"/>
        <w:jc w:val="both"/>
      </w:pPr>
      <w:r w:rsidRPr="005F7EA8">
        <w:t xml:space="preserve">   </w:t>
      </w:r>
    </w:p>
    <w:p w:rsidR="007344A4" w:rsidRPr="007722E2" w:rsidRDefault="007344A4" w:rsidP="007344A4">
      <w:pPr>
        <w:ind w:firstLine="720"/>
        <w:jc w:val="both"/>
        <w:rPr>
          <w:b/>
        </w:rPr>
      </w:pPr>
      <w:r w:rsidRPr="007722E2">
        <w:rPr>
          <w:b/>
        </w:rPr>
        <w:t>Operations Review</w:t>
      </w:r>
      <w:r>
        <w:rPr>
          <w:b/>
        </w:rPr>
        <w:t xml:space="preserve"> for the </w:t>
      </w:r>
      <w:r w:rsidR="000A0C3B">
        <w:rPr>
          <w:b/>
        </w:rPr>
        <w:t>S</w:t>
      </w:r>
      <w:r>
        <w:rPr>
          <w:b/>
        </w:rPr>
        <w:t xml:space="preserve">econd Quarter Ended 30 June 2012 </w:t>
      </w:r>
    </w:p>
    <w:p w:rsidR="007344A4" w:rsidRDefault="007344A4" w:rsidP="007344A4">
      <w:pPr>
        <w:ind w:left="720"/>
        <w:jc w:val="both"/>
      </w:pPr>
    </w:p>
    <w:p w:rsidR="007344A4" w:rsidRPr="007344A4" w:rsidRDefault="007344A4" w:rsidP="007344A4">
      <w:pPr>
        <w:pStyle w:val="BodyTextIndent"/>
        <w:numPr>
          <w:ilvl w:val="0"/>
          <w:numId w:val="4"/>
        </w:numPr>
        <w:ind w:right="-90"/>
        <w:rPr>
          <w:b/>
        </w:rPr>
      </w:pPr>
      <w:r w:rsidRPr="007344A4">
        <w:rPr>
          <w:b/>
          <w:sz w:val="20"/>
        </w:rPr>
        <w:t>Cards and Payment Services</w:t>
      </w:r>
      <w:r w:rsidR="00723CB9">
        <w:rPr>
          <w:b/>
          <w:sz w:val="20"/>
        </w:rPr>
        <w:t xml:space="preserve"> </w:t>
      </w:r>
    </w:p>
    <w:p w:rsidR="007344A4" w:rsidRPr="007344A4" w:rsidRDefault="007344A4" w:rsidP="007344A4">
      <w:pPr>
        <w:pStyle w:val="BodyTextIndent"/>
        <w:ind w:left="1080" w:right="-90"/>
        <w:rPr>
          <w:sz w:val="20"/>
        </w:rPr>
      </w:pPr>
      <w:r w:rsidRPr="007344A4">
        <w:rPr>
          <w:sz w:val="20"/>
        </w:rPr>
        <w:t xml:space="preserve">The performance of this segment for the current quarter was better than that of the previous year’s corresponding period, reporting increased revenue of RM61.33 </w:t>
      </w:r>
      <w:proofErr w:type="gramStart"/>
      <w:r w:rsidRPr="007344A4">
        <w:rPr>
          <w:sz w:val="20"/>
        </w:rPr>
        <w:t>million ,</w:t>
      </w:r>
      <w:proofErr w:type="gramEnd"/>
      <w:r w:rsidRPr="007344A4">
        <w:rPr>
          <w:sz w:val="20"/>
        </w:rPr>
        <w:t xml:space="preserve"> RM2.21 million or 4% higher than 2011’s corresponding quarter of RM59.12 million</w:t>
      </w:r>
      <w:r w:rsidR="00F814AD">
        <w:rPr>
          <w:sz w:val="20"/>
        </w:rPr>
        <w:t>.</w:t>
      </w:r>
      <w:r w:rsidRPr="007344A4">
        <w:rPr>
          <w:sz w:val="20"/>
        </w:rPr>
        <w:t xml:space="preserve"> Its profit before tax was RM1</w:t>
      </w:r>
      <w:r w:rsidR="00FF7078">
        <w:rPr>
          <w:sz w:val="20"/>
        </w:rPr>
        <w:t>6.66</w:t>
      </w:r>
      <w:r w:rsidRPr="007344A4">
        <w:rPr>
          <w:sz w:val="20"/>
        </w:rPr>
        <w:t xml:space="preserve"> million, RM3.</w:t>
      </w:r>
      <w:r w:rsidR="00FF7078">
        <w:rPr>
          <w:sz w:val="20"/>
        </w:rPr>
        <w:t>52</w:t>
      </w:r>
      <w:r w:rsidRPr="007344A4">
        <w:rPr>
          <w:sz w:val="20"/>
        </w:rPr>
        <w:t xml:space="preserve"> million or 2</w:t>
      </w:r>
      <w:r w:rsidR="00FF7078">
        <w:rPr>
          <w:sz w:val="20"/>
        </w:rPr>
        <w:t>7</w:t>
      </w:r>
      <w:r w:rsidRPr="007344A4">
        <w:rPr>
          <w:sz w:val="20"/>
        </w:rPr>
        <w:t>% higher than the previous year’s corresponding quarter of RM1</w:t>
      </w:r>
      <w:r w:rsidR="00FF7078">
        <w:rPr>
          <w:sz w:val="20"/>
        </w:rPr>
        <w:t>3.14</w:t>
      </w:r>
      <w:r w:rsidRPr="007344A4">
        <w:rPr>
          <w:sz w:val="20"/>
        </w:rPr>
        <w:t xml:space="preserve"> million principally due </w:t>
      </w:r>
      <w:proofErr w:type="gramStart"/>
      <w:r w:rsidRPr="007344A4">
        <w:rPr>
          <w:sz w:val="20"/>
        </w:rPr>
        <w:t>to  higher</w:t>
      </w:r>
      <w:proofErr w:type="gramEnd"/>
      <w:r w:rsidRPr="007344A4">
        <w:rPr>
          <w:sz w:val="20"/>
        </w:rPr>
        <w:t xml:space="preserve"> revenue, </w:t>
      </w:r>
      <w:r w:rsidR="00723CB9">
        <w:rPr>
          <w:sz w:val="20"/>
        </w:rPr>
        <w:t>particularly</w:t>
      </w:r>
      <w:r w:rsidRPr="007344A4">
        <w:rPr>
          <w:sz w:val="20"/>
        </w:rPr>
        <w:t xml:space="preserve"> interest income from the increased receivables, lower credit loss provision consequence of improved collections and lower operating costs arising from the various c</w:t>
      </w:r>
      <w:r w:rsidR="000A0C3B">
        <w:rPr>
          <w:sz w:val="20"/>
        </w:rPr>
        <w:t>ost cutting measures undertaken.</w:t>
      </w:r>
    </w:p>
    <w:p w:rsidR="0049537E" w:rsidRDefault="0049537E" w:rsidP="007344A4">
      <w:pPr>
        <w:pStyle w:val="BodyTextIndent"/>
        <w:ind w:left="1080" w:right="-90"/>
        <w:rPr>
          <w:sz w:val="20"/>
        </w:rPr>
      </w:pPr>
    </w:p>
    <w:p w:rsidR="007344A4" w:rsidRPr="007344A4" w:rsidRDefault="007344A4" w:rsidP="007344A4">
      <w:pPr>
        <w:pStyle w:val="BodyTextIndent"/>
        <w:numPr>
          <w:ilvl w:val="0"/>
          <w:numId w:val="4"/>
        </w:numPr>
        <w:ind w:right="-90"/>
        <w:rPr>
          <w:b/>
          <w:sz w:val="20"/>
        </w:rPr>
      </w:pPr>
      <w:r w:rsidRPr="007344A4">
        <w:rPr>
          <w:b/>
          <w:sz w:val="20"/>
        </w:rPr>
        <w:t>Papua New Guinea – Automotive</w:t>
      </w:r>
    </w:p>
    <w:p w:rsidR="007344A4" w:rsidRPr="007344A4" w:rsidRDefault="007344A4" w:rsidP="007344A4">
      <w:pPr>
        <w:ind w:left="1080"/>
        <w:jc w:val="both"/>
        <w:rPr>
          <w:i/>
        </w:rPr>
      </w:pPr>
      <w:r w:rsidRPr="007344A4">
        <w:t xml:space="preserve">This segment which comprises the operations in Papua New Guinea, Vanuatu and Solomon Islands, registered higher revenue of approximately Kina62.85 million (RM120.42 million) or 105% based on </w:t>
      </w:r>
      <w:r w:rsidR="005B76FA">
        <w:t xml:space="preserve">the </w:t>
      </w:r>
      <w:r w:rsidRPr="007344A4">
        <w:t>average exchange rate of Kina1: RM1.5129</w:t>
      </w:r>
      <w:r w:rsidR="00F53BF4">
        <w:t xml:space="preserve"> </w:t>
      </w:r>
      <w:r w:rsidRPr="007344A4">
        <w:t xml:space="preserve">(2011; Kina1:RM1.2291), </w:t>
      </w:r>
      <w:r w:rsidR="00723CB9">
        <w:t>due to</w:t>
      </w:r>
      <w:r w:rsidRPr="007344A4">
        <w:t xml:space="preserve"> strong vehicle demand </w:t>
      </w:r>
      <w:r w:rsidR="00723CB9">
        <w:t>boosted by</w:t>
      </w:r>
      <w:r w:rsidRPr="007344A4">
        <w:t xml:space="preserve"> the LNG projects</w:t>
      </w:r>
      <w:r w:rsidR="00723CB9">
        <w:t xml:space="preserve"> in PNG</w:t>
      </w:r>
      <w:r w:rsidRPr="007344A4">
        <w:t xml:space="preserve"> and the strengthening of the Kina (</w:t>
      </w:r>
      <w:r w:rsidR="005B76FA">
        <w:t>23</w:t>
      </w:r>
      <w:r w:rsidRPr="007344A4">
        <w:t xml:space="preserve">% increase on currency conversion to RM). </w:t>
      </w:r>
    </w:p>
    <w:p w:rsidR="007344A4" w:rsidRPr="007344A4" w:rsidRDefault="007344A4" w:rsidP="007344A4">
      <w:pPr>
        <w:ind w:left="720"/>
        <w:jc w:val="both"/>
      </w:pPr>
    </w:p>
    <w:p w:rsidR="007344A4" w:rsidRPr="007344A4" w:rsidRDefault="007344A4" w:rsidP="007344A4">
      <w:pPr>
        <w:ind w:left="1080"/>
        <w:jc w:val="both"/>
      </w:pPr>
      <w:r w:rsidRPr="007344A4">
        <w:t>The total number of vehicles sold in the second quarter of 2012 was 904 versus 538 in the previous year’s corresponding quarter, an increase of 366 units or 68% contributed mainly</w:t>
      </w:r>
      <w:r w:rsidR="00F53BF4">
        <w:t xml:space="preserve"> by</w:t>
      </w:r>
      <w:r w:rsidRPr="007344A4">
        <w:t xml:space="preserve"> </w:t>
      </w:r>
      <w:proofErr w:type="spellStart"/>
      <w:r w:rsidRPr="007344A4">
        <w:t>Boroko</w:t>
      </w:r>
      <w:proofErr w:type="spellEnd"/>
      <w:r w:rsidRPr="007344A4">
        <w:t xml:space="preserve"> Motors and the successful launching </w:t>
      </w:r>
      <w:r w:rsidR="00F53BF4">
        <w:t>by</w:t>
      </w:r>
      <w:r w:rsidRPr="007344A4">
        <w:t xml:space="preserve"> Carpenters Motors Ltd to market new brands </w:t>
      </w:r>
      <w:r w:rsidR="000A0C3B">
        <w:t>-</w:t>
      </w:r>
      <w:r w:rsidRPr="007344A4">
        <w:t xml:space="preserve"> Land Rover and Kia </w:t>
      </w:r>
      <w:r w:rsidR="000A0C3B">
        <w:t>including the</w:t>
      </w:r>
      <w:r w:rsidRPr="007344A4">
        <w:t xml:space="preserve"> </w:t>
      </w:r>
      <w:r w:rsidR="00F53BF4">
        <w:t>various makes of re-conditioned</w:t>
      </w:r>
      <w:r w:rsidRPr="007344A4">
        <w:t xml:space="preserve"> cars.</w:t>
      </w:r>
    </w:p>
    <w:p w:rsidR="007344A4" w:rsidRPr="007344A4" w:rsidRDefault="007344A4" w:rsidP="007344A4">
      <w:pPr>
        <w:ind w:left="720"/>
        <w:jc w:val="both"/>
      </w:pPr>
    </w:p>
    <w:p w:rsidR="007344A4" w:rsidRPr="007344A4" w:rsidRDefault="007344A4" w:rsidP="007344A4">
      <w:pPr>
        <w:ind w:left="1080"/>
        <w:jc w:val="both"/>
      </w:pPr>
      <w:r w:rsidRPr="007344A4">
        <w:t xml:space="preserve">The profit before tax for the current quarter of Kina21.65 million (RM33.26 million) was 911% higher than the Kina2.14 million (RM2.79 million) reported for Q2 2011 as a result of the ability of the dealership management team to hold onto the gross profit margins. </w:t>
      </w:r>
    </w:p>
    <w:p w:rsidR="007344A4" w:rsidRPr="007344A4" w:rsidRDefault="007344A4" w:rsidP="007344A4">
      <w:pPr>
        <w:pStyle w:val="BodyTextIndent"/>
        <w:ind w:left="1080" w:right="-90"/>
        <w:rPr>
          <w:b/>
          <w:sz w:val="20"/>
        </w:rPr>
      </w:pPr>
    </w:p>
    <w:p w:rsidR="007344A4" w:rsidRPr="007344A4" w:rsidRDefault="007344A4" w:rsidP="007344A4">
      <w:pPr>
        <w:pStyle w:val="BodyTextIndent"/>
        <w:numPr>
          <w:ilvl w:val="0"/>
          <w:numId w:val="4"/>
        </w:numPr>
        <w:ind w:right="-90"/>
        <w:rPr>
          <w:b/>
          <w:sz w:val="20"/>
        </w:rPr>
      </w:pPr>
      <w:r w:rsidRPr="007344A4">
        <w:rPr>
          <w:b/>
          <w:sz w:val="20"/>
        </w:rPr>
        <w:t>Papua New Guinea – Agriculture</w:t>
      </w:r>
    </w:p>
    <w:p w:rsidR="007344A4" w:rsidRPr="007344A4" w:rsidRDefault="007344A4" w:rsidP="007344A4">
      <w:pPr>
        <w:ind w:left="1080"/>
        <w:jc w:val="both"/>
        <w:rPr>
          <w:i/>
        </w:rPr>
      </w:pPr>
      <w:r w:rsidRPr="007344A4">
        <w:t xml:space="preserve">This segment comprises the plantation and farming operations including the coconut oil mill. In the current quarter, the operations recorded a combined revenue of Kina44.53 million (RM68.87 million), a decrease of Kina14.89 million (RM7.13million) or 25% compared to  2011’s of Kina59.42 million (RM76.00 million).The reduction in revenue was offset by the strengthening of the Kina currency conversion to RM. </w:t>
      </w:r>
    </w:p>
    <w:p w:rsidR="007344A4" w:rsidRPr="007344A4" w:rsidRDefault="007344A4" w:rsidP="007344A4">
      <w:pPr>
        <w:ind w:left="720"/>
        <w:jc w:val="both"/>
      </w:pPr>
    </w:p>
    <w:p w:rsidR="007344A4" w:rsidRPr="007344A4" w:rsidRDefault="007344A4" w:rsidP="007344A4">
      <w:pPr>
        <w:ind w:left="1080"/>
        <w:jc w:val="both"/>
      </w:pPr>
      <w:r w:rsidRPr="007344A4">
        <w:t>The lower revenue was due principally to the lower coconut oil (“CNO”) prices which fell from an average of Kina4</w:t>
      </w:r>
      <w:proofErr w:type="gramStart"/>
      <w:r w:rsidRPr="007344A4">
        <w:t>,148</w:t>
      </w:r>
      <w:proofErr w:type="gramEnd"/>
      <w:r w:rsidRPr="007344A4">
        <w:t xml:space="preserve">/MT in the corresponding quarter of last year to Kina2,824/MT in the current quarter, aggravated further by the declining tea and coffee prices. Total tonnage of CNO sold was also lower than the previous year’s corresponding quarter by 3,037 MT or 42% (4,165 MT </w:t>
      </w:r>
      <w:proofErr w:type="spellStart"/>
      <w:r w:rsidRPr="007344A4">
        <w:t>vs</w:t>
      </w:r>
      <w:proofErr w:type="spellEnd"/>
      <w:r w:rsidRPr="007344A4">
        <w:t xml:space="preserve"> 7,202 MT). </w:t>
      </w:r>
      <w:r w:rsidR="000A0C3B">
        <w:t xml:space="preserve">The </w:t>
      </w:r>
      <w:r w:rsidR="00787662">
        <w:t>d</w:t>
      </w:r>
      <w:r w:rsidRPr="007344A4">
        <w:t>ebt crisis</w:t>
      </w:r>
      <w:r w:rsidR="000A0C3B">
        <w:t xml:space="preserve"> in Europe</w:t>
      </w:r>
      <w:r w:rsidRPr="007344A4">
        <w:t xml:space="preserve">, where the CNO is exported resulted in declining demand which was aggravated further by the appreciation of the Kina exchange rate against US Dollar by more than 17% between the corresponding periods. The lower revenue was mitigated by higher export </w:t>
      </w:r>
      <w:r w:rsidR="00F53BF4">
        <w:t xml:space="preserve">of </w:t>
      </w:r>
      <w:r w:rsidR="005B76FA">
        <w:t xml:space="preserve">copra by Kina10.99 million or 8,571 MT (Kina16.15 million </w:t>
      </w:r>
      <w:proofErr w:type="spellStart"/>
      <w:r w:rsidR="005B76FA">
        <w:t>vs</w:t>
      </w:r>
      <w:proofErr w:type="spellEnd"/>
      <w:r w:rsidR="005B76FA">
        <w:t xml:space="preserve"> Kina5.16 million) (10,822 MT </w:t>
      </w:r>
      <w:proofErr w:type="spellStart"/>
      <w:r w:rsidR="005B76FA">
        <w:t>vs</w:t>
      </w:r>
      <w:proofErr w:type="spellEnd"/>
      <w:r w:rsidR="005B76FA">
        <w:t xml:space="preserve"> 2,251 MT).</w:t>
      </w:r>
    </w:p>
    <w:p w:rsidR="007344A4" w:rsidRPr="007344A4" w:rsidRDefault="007344A4" w:rsidP="007344A4">
      <w:pPr>
        <w:ind w:left="720"/>
        <w:jc w:val="both"/>
      </w:pPr>
    </w:p>
    <w:p w:rsidR="007344A4" w:rsidRPr="007344A4" w:rsidRDefault="007344A4" w:rsidP="007344A4">
      <w:pPr>
        <w:ind w:left="1080"/>
        <w:jc w:val="both"/>
      </w:pPr>
      <w:r w:rsidRPr="007344A4">
        <w:t>Consequently the lower revenue resulted in a loss before tax of Kina9.54 million (RM14.94 million) compared to the previous year’s corresponding quarter</w:t>
      </w:r>
      <w:r w:rsidR="001065C7">
        <w:t>’s</w:t>
      </w:r>
      <w:r w:rsidRPr="007344A4">
        <w:t xml:space="preserve"> loss of Kina4.55 million (RM4.90 million).</w:t>
      </w:r>
    </w:p>
    <w:p w:rsidR="007344A4" w:rsidRPr="007344A4" w:rsidRDefault="007344A4" w:rsidP="007344A4">
      <w:pPr>
        <w:pStyle w:val="BodyTextIndent"/>
        <w:ind w:left="1080" w:right="-90"/>
        <w:rPr>
          <w:sz w:val="20"/>
        </w:rPr>
      </w:pPr>
    </w:p>
    <w:p w:rsidR="007344A4" w:rsidRPr="007344A4" w:rsidRDefault="007344A4" w:rsidP="007344A4">
      <w:pPr>
        <w:pStyle w:val="BodyTextIndent"/>
        <w:numPr>
          <w:ilvl w:val="0"/>
          <w:numId w:val="4"/>
        </w:numPr>
        <w:ind w:right="-90"/>
        <w:rPr>
          <w:b/>
          <w:sz w:val="20"/>
        </w:rPr>
      </w:pPr>
      <w:r w:rsidRPr="007344A4">
        <w:rPr>
          <w:b/>
          <w:sz w:val="20"/>
        </w:rPr>
        <w:t>Fiji – Retail and Wholesale</w:t>
      </w:r>
    </w:p>
    <w:p w:rsidR="007344A4" w:rsidRPr="007344A4" w:rsidRDefault="007344A4" w:rsidP="007344A4">
      <w:pPr>
        <w:ind w:left="1080"/>
        <w:jc w:val="both"/>
      </w:pPr>
      <w:r w:rsidRPr="007344A4">
        <w:t xml:space="preserve">The Fiji Retail and Wholesale segment comprises the operations of Morris </w:t>
      </w:r>
      <w:proofErr w:type="spellStart"/>
      <w:r w:rsidRPr="007344A4">
        <w:t>Hedstrom</w:t>
      </w:r>
      <w:proofErr w:type="spellEnd"/>
      <w:r w:rsidRPr="007344A4">
        <w:t xml:space="preserve"> (“MH”) - the supermarket and homemaker operator and the </w:t>
      </w:r>
      <w:r w:rsidR="00F25806">
        <w:t>h</w:t>
      </w:r>
      <w:r w:rsidRPr="007344A4">
        <w:t xml:space="preserve">ardware businesses. </w:t>
      </w:r>
    </w:p>
    <w:p w:rsidR="007344A4" w:rsidRPr="007344A4" w:rsidRDefault="007344A4" w:rsidP="007344A4">
      <w:pPr>
        <w:ind w:left="720"/>
        <w:jc w:val="both"/>
      </w:pPr>
    </w:p>
    <w:p w:rsidR="007344A4" w:rsidRPr="007344A4" w:rsidRDefault="007344A4" w:rsidP="007344A4">
      <w:pPr>
        <w:ind w:left="1080"/>
        <w:jc w:val="both"/>
      </w:pPr>
      <w:r w:rsidRPr="007344A4">
        <w:t>This segment reported sales of FJD59.24 million (RM102.20 million), exceeding the preceding year’s corresponding quarter by FJD5.46 million (RM10.14 million) or 11% due to improved sales in all businesses.</w:t>
      </w:r>
    </w:p>
    <w:p w:rsidR="007344A4" w:rsidRPr="007344A4" w:rsidRDefault="007344A4" w:rsidP="007344A4">
      <w:pPr>
        <w:ind w:left="720"/>
        <w:jc w:val="both"/>
      </w:pPr>
    </w:p>
    <w:p w:rsidR="007344A4" w:rsidRPr="007344A4" w:rsidRDefault="007344A4" w:rsidP="007344A4">
      <w:pPr>
        <w:pStyle w:val="BodyTextIndent"/>
        <w:ind w:left="1080" w:right="-90"/>
        <w:rPr>
          <w:sz w:val="20"/>
        </w:rPr>
      </w:pPr>
      <w:r w:rsidRPr="007344A4">
        <w:rPr>
          <w:sz w:val="20"/>
        </w:rPr>
        <w:t>The improved revenue resulted in the segment turning around with</w:t>
      </w:r>
      <w:r w:rsidR="00066125">
        <w:rPr>
          <w:sz w:val="20"/>
        </w:rPr>
        <w:t xml:space="preserve"> an</w:t>
      </w:r>
      <w:r w:rsidRPr="007344A4">
        <w:rPr>
          <w:sz w:val="20"/>
        </w:rPr>
        <w:t xml:space="preserve"> operating p</w:t>
      </w:r>
      <w:r w:rsidR="001065C7">
        <w:rPr>
          <w:sz w:val="20"/>
        </w:rPr>
        <w:t>rofit before tax and before non-</w:t>
      </w:r>
      <w:r w:rsidRPr="007344A4">
        <w:rPr>
          <w:sz w:val="20"/>
        </w:rPr>
        <w:t>recurring item of FJD0.32 million (RM0.55million) compared to the previous year’s corresponding quarter of a loss of FJD4.38 million (RM7.46 million). This segment provided for additional losses of FJD0.95 million (RM1.64 million) consequent to the floods in January and March/April and this resulted in the current quarter re</w:t>
      </w:r>
      <w:r w:rsidR="001065C7">
        <w:rPr>
          <w:sz w:val="20"/>
        </w:rPr>
        <w:t>porting</w:t>
      </w:r>
      <w:r w:rsidRPr="007344A4">
        <w:rPr>
          <w:sz w:val="20"/>
        </w:rPr>
        <w:t xml:space="preserve"> a loss before tax</w:t>
      </w:r>
      <w:r w:rsidR="001065C7">
        <w:rPr>
          <w:sz w:val="20"/>
        </w:rPr>
        <w:t xml:space="preserve"> of</w:t>
      </w:r>
      <w:r w:rsidRPr="007344A4">
        <w:rPr>
          <w:sz w:val="20"/>
        </w:rPr>
        <w:t xml:space="preserve"> FJD0.63 million (RM1.10 million).</w:t>
      </w:r>
    </w:p>
    <w:p w:rsidR="007344A4" w:rsidRPr="007344A4" w:rsidRDefault="007344A4" w:rsidP="007344A4">
      <w:pPr>
        <w:pStyle w:val="BodyTextIndent"/>
        <w:ind w:left="1080" w:right="-90"/>
        <w:rPr>
          <w:sz w:val="20"/>
        </w:rPr>
      </w:pPr>
    </w:p>
    <w:p w:rsidR="007344A4" w:rsidRPr="007344A4" w:rsidRDefault="007344A4" w:rsidP="007344A4">
      <w:pPr>
        <w:pStyle w:val="ListParagraph"/>
        <w:numPr>
          <w:ilvl w:val="0"/>
          <w:numId w:val="10"/>
        </w:numPr>
        <w:jc w:val="both"/>
        <w:rPr>
          <w:b/>
          <w:vanish/>
        </w:rPr>
      </w:pPr>
    </w:p>
    <w:p w:rsidR="007344A4" w:rsidRPr="007344A4" w:rsidRDefault="007344A4" w:rsidP="007344A4">
      <w:pPr>
        <w:pStyle w:val="ListParagraph"/>
        <w:numPr>
          <w:ilvl w:val="0"/>
          <w:numId w:val="10"/>
        </w:numPr>
        <w:jc w:val="both"/>
        <w:rPr>
          <w:b/>
          <w:vanish/>
        </w:rPr>
      </w:pPr>
    </w:p>
    <w:p w:rsidR="007344A4" w:rsidRPr="007344A4" w:rsidRDefault="007344A4" w:rsidP="007344A4">
      <w:pPr>
        <w:pStyle w:val="ListParagraph"/>
        <w:numPr>
          <w:ilvl w:val="0"/>
          <w:numId w:val="10"/>
        </w:numPr>
        <w:jc w:val="both"/>
        <w:rPr>
          <w:b/>
          <w:vanish/>
        </w:rPr>
      </w:pPr>
    </w:p>
    <w:p w:rsidR="007344A4" w:rsidRPr="007344A4" w:rsidRDefault="007344A4" w:rsidP="007344A4">
      <w:pPr>
        <w:pStyle w:val="ListParagraph"/>
        <w:numPr>
          <w:ilvl w:val="0"/>
          <w:numId w:val="10"/>
        </w:numPr>
        <w:jc w:val="both"/>
        <w:rPr>
          <w:b/>
          <w:vanish/>
        </w:rPr>
      </w:pPr>
    </w:p>
    <w:p w:rsidR="007344A4" w:rsidRPr="007344A4" w:rsidRDefault="007344A4" w:rsidP="007344A4">
      <w:pPr>
        <w:pStyle w:val="ListParagraph"/>
        <w:numPr>
          <w:ilvl w:val="0"/>
          <w:numId w:val="10"/>
        </w:numPr>
        <w:jc w:val="both"/>
        <w:rPr>
          <w:b/>
        </w:rPr>
      </w:pPr>
      <w:r w:rsidRPr="007344A4">
        <w:rPr>
          <w:b/>
        </w:rPr>
        <w:t>Fiji – Automotive</w:t>
      </w:r>
    </w:p>
    <w:p w:rsidR="007344A4" w:rsidRPr="007344A4" w:rsidRDefault="007344A4" w:rsidP="007344A4">
      <w:pPr>
        <w:ind w:left="1080"/>
        <w:jc w:val="both"/>
      </w:pPr>
      <w:r w:rsidRPr="007344A4">
        <w:t xml:space="preserve">Total revenue for the current quarter was FJD37.76 million (RM65.14 million) compared to the previous year’s corresponding quarter of FJD34.76 million (RM59.48 million), higher by FJD3.00 million (RM5.65 million) or 9% driven by higher sales volumes – in both the new and used vehicles, auto parts and car rental business. </w:t>
      </w:r>
    </w:p>
    <w:p w:rsidR="007344A4" w:rsidRPr="007344A4" w:rsidRDefault="007344A4" w:rsidP="007344A4">
      <w:pPr>
        <w:ind w:left="720"/>
        <w:jc w:val="both"/>
      </w:pPr>
    </w:p>
    <w:p w:rsidR="007344A4" w:rsidRPr="007344A4" w:rsidRDefault="007344A4" w:rsidP="007344A4">
      <w:pPr>
        <w:ind w:left="1080"/>
        <w:jc w:val="both"/>
      </w:pPr>
      <w:r w:rsidRPr="007344A4">
        <w:t xml:space="preserve">Profit before tax of FJD1.28 million (RM2.21 million) was FJD0.71 million (RM1.24 million) or 125% higher than the previous year’s corresponding quarter of FJD0.57 million (RM0.96 million). </w:t>
      </w:r>
      <w:r w:rsidRPr="007344A4">
        <w:rPr>
          <w:bCs/>
        </w:rPr>
        <w:t xml:space="preserve">This division </w:t>
      </w:r>
      <w:r w:rsidR="001065C7">
        <w:rPr>
          <w:bCs/>
        </w:rPr>
        <w:t>was</w:t>
      </w:r>
      <w:r w:rsidRPr="007344A4">
        <w:rPr>
          <w:bCs/>
        </w:rPr>
        <w:t xml:space="preserve"> the market leader </w:t>
      </w:r>
      <w:r w:rsidR="001065C7">
        <w:rPr>
          <w:bCs/>
        </w:rPr>
        <w:t xml:space="preserve">for the </w:t>
      </w:r>
      <w:r w:rsidRPr="007344A4">
        <w:rPr>
          <w:bCs/>
        </w:rPr>
        <w:t>distribut</w:t>
      </w:r>
      <w:r w:rsidR="001065C7">
        <w:rPr>
          <w:bCs/>
        </w:rPr>
        <w:t>ion</w:t>
      </w:r>
      <w:r w:rsidRPr="007344A4">
        <w:rPr>
          <w:bCs/>
        </w:rPr>
        <w:t xml:space="preserve"> of new vehicles in Fiji with a 33% market share.</w:t>
      </w:r>
    </w:p>
    <w:p w:rsidR="007344A4" w:rsidRPr="007344A4" w:rsidRDefault="007344A4" w:rsidP="007344A4">
      <w:pPr>
        <w:pStyle w:val="ListParagraph"/>
        <w:ind w:left="1080"/>
        <w:jc w:val="both"/>
        <w:rPr>
          <w:bCs/>
        </w:rPr>
      </w:pPr>
    </w:p>
    <w:p w:rsidR="007344A4" w:rsidRPr="007344A4" w:rsidRDefault="007344A4" w:rsidP="007344A4">
      <w:pPr>
        <w:pStyle w:val="ListParagraph"/>
        <w:numPr>
          <w:ilvl w:val="0"/>
          <w:numId w:val="10"/>
        </w:numPr>
        <w:jc w:val="both"/>
        <w:rPr>
          <w:b/>
        </w:rPr>
      </w:pPr>
      <w:r w:rsidRPr="007344A4">
        <w:rPr>
          <w:b/>
        </w:rPr>
        <w:t>Fiji – Property</w:t>
      </w:r>
    </w:p>
    <w:p w:rsidR="007344A4" w:rsidRPr="007344A4" w:rsidRDefault="00F25806" w:rsidP="007344A4">
      <w:pPr>
        <w:pStyle w:val="ListParagraph"/>
        <w:ind w:left="1080"/>
        <w:jc w:val="both"/>
        <w:rPr>
          <w:color w:val="FF0000"/>
        </w:rPr>
      </w:pPr>
      <w:r>
        <w:t xml:space="preserve">This segment </w:t>
      </w:r>
      <w:r w:rsidR="007344A4" w:rsidRPr="007344A4">
        <w:t>recorded revenue for the quarter of FJD2.90 million (RM4.99 million) compared to FJD3.86 million (RM6.61 million) in the corresponding quarter of 2011, a decrease of FJD0.96 or 25% primarily due to lower rental income on reduced rates.</w:t>
      </w:r>
    </w:p>
    <w:p w:rsidR="007344A4" w:rsidRPr="007344A4" w:rsidRDefault="007344A4" w:rsidP="007344A4">
      <w:pPr>
        <w:pStyle w:val="ListParagraph"/>
        <w:ind w:left="360"/>
        <w:jc w:val="both"/>
      </w:pPr>
    </w:p>
    <w:p w:rsidR="007344A4" w:rsidRPr="007344A4" w:rsidRDefault="007344A4" w:rsidP="007344A4">
      <w:pPr>
        <w:ind w:left="1080"/>
        <w:jc w:val="both"/>
        <w:rPr>
          <w:b/>
        </w:rPr>
      </w:pPr>
      <w:r w:rsidRPr="007344A4">
        <w:t>Consequently, the segment’s operating profit before tax decreased in tandem with the reduction in revenue to FJD 0.33 million (RM0.56 million) or 72% lower than the preceding year’s corresponding quarter of FJD1.16 million (RM1.98 million).</w:t>
      </w:r>
    </w:p>
    <w:p w:rsidR="007344A4" w:rsidRPr="007344A4" w:rsidRDefault="007344A4" w:rsidP="007344A4">
      <w:pPr>
        <w:ind w:left="1080"/>
        <w:jc w:val="both"/>
        <w:rPr>
          <w:b/>
        </w:rPr>
      </w:pPr>
    </w:p>
    <w:p w:rsidR="007344A4" w:rsidRPr="007344A4" w:rsidRDefault="007344A4" w:rsidP="007344A4">
      <w:pPr>
        <w:pStyle w:val="ListParagraph"/>
        <w:numPr>
          <w:ilvl w:val="0"/>
          <w:numId w:val="10"/>
        </w:numPr>
        <w:jc w:val="both"/>
        <w:rPr>
          <w:b/>
        </w:rPr>
      </w:pPr>
      <w:r w:rsidRPr="007344A4">
        <w:rPr>
          <w:b/>
        </w:rPr>
        <w:t>Shipping</w:t>
      </w:r>
    </w:p>
    <w:p w:rsidR="00066125" w:rsidRPr="00066125" w:rsidRDefault="00066125" w:rsidP="00066125">
      <w:pPr>
        <w:ind w:left="1080"/>
        <w:jc w:val="both"/>
      </w:pPr>
      <w:r w:rsidRPr="00066125">
        <w:t xml:space="preserve">The second quarter of the year picked up from the first quarter which was typically the off peak period for both Northbound and Southbound services.  Despite the fleet size being reduced from four (4) vessels to two (2), total revenue of the Shipping segment for the current quarter was RM40.93 million, up on corresponding quarter of 2011 of RM40.41 million. </w:t>
      </w:r>
    </w:p>
    <w:p w:rsidR="00066125" w:rsidRPr="00066125" w:rsidRDefault="00066125" w:rsidP="00066125">
      <w:pPr>
        <w:ind w:left="1080"/>
        <w:jc w:val="both"/>
      </w:pPr>
    </w:p>
    <w:p w:rsidR="007344A4" w:rsidRPr="00066125" w:rsidRDefault="00066125" w:rsidP="00066125">
      <w:pPr>
        <w:ind w:left="1080"/>
        <w:jc w:val="both"/>
      </w:pPr>
      <w:r>
        <w:t>The pretax loss for the current quarter was RM1.96 million, RM8.43 million or 81% lower than the previous year’s corresponding quarter loss of RM10.39 million. Operating costs in the current quarter reduced in</w:t>
      </w:r>
      <w:r w:rsidR="00787662">
        <w:t xml:space="preserve"> </w:t>
      </w:r>
      <w:r>
        <w:t>line with the reduced number of vessels and savings</w:t>
      </w:r>
      <w:r w:rsidR="00787662">
        <w:t xml:space="preserve"> in </w:t>
      </w:r>
      <w:r>
        <w:t xml:space="preserve">operational costs from </w:t>
      </w:r>
      <w:r w:rsidR="00787662">
        <w:t xml:space="preserve">the </w:t>
      </w:r>
      <w:r>
        <w:t>ceasing</w:t>
      </w:r>
      <w:r w:rsidR="00787662">
        <w:t xml:space="preserve"> of</w:t>
      </w:r>
      <w:r>
        <w:t xml:space="preserve"> operations of its agency companies set up in New Zealand and Australia following the change in voyage routes.</w:t>
      </w:r>
    </w:p>
    <w:p w:rsidR="007344A4" w:rsidRPr="007344A4" w:rsidRDefault="007344A4" w:rsidP="007344A4">
      <w:pPr>
        <w:pStyle w:val="ListParagraph"/>
        <w:ind w:left="1080"/>
        <w:jc w:val="both"/>
        <w:rPr>
          <w:b/>
        </w:rPr>
      </w:pPr>
    </w:p>
    <w:p w:rsidR="007344A4" w:rsidRPr="007344A4" w:rsidRDefault="007344A4" w:rsidP="001065C7">
      <w:pPr>
        <w:pStyle w:val="ListParagraph"/>
        <w:numPr>
          <w:ilvl w:val="0"/>
          <w:numId w:val="10"/>
        </w:numPr>
        <w:jc w:val="both"/>
        <w:rPr>
          <w:b/>
        </w:rPr>
      </w:pPr>
      <w:r w:rsidRPr="007344A4">
        <w:rPr>
          <w:b/>
        </w:rPr>
        <w:t>Others</w:t>
      </w:r>
    </w:p>
    <w:p w:rsidR="007344A4" w:rsidRDefault="007344A4" w:rsidP="007344A4">
      <w:pPr>
        <w:ind w:left="1080"/>
        <w:jc w:val="both"/>
      </w:pPr>
      <w:r w:rsidRPr="007344A4">
        <w:t xml:space="preserve">The revenue of </w:t>
      </w:r>
      <w:r w:rsidR="00066125">
        <w:t>others</w:t>
      </w:r>
      <w:r w:rsidRPr="007344A4">
        <w:t xml:space="preserve"> increased by RM15.66 million or 13% to RM138.96 million from last year’s corresponding quarter of RM123.31 million principally due to the strengthening of the Kina currency against the Malaysian Ringgit. </w:t>
      </w:r>
    </w:p>
    <w:p w:rsidR="007344A4" w:rsidRPr="007344A4" w:rsidRDefault="007344A4" w:rsidP="007344A4">
      <w:pPr>
        <w:ind w:left="1080"/>
        <w:jc w:val="both"/>
      </w:pPr>
    </w:p>
    <w:p w:rsidR="007344A4" w:rsidRPr="007344A4" w:rsidRDefault="007344A4" w:rsidP="007344A4">
      <w:pPr>
        <w:pStyle w:val="BodyTextIndent"/>
        <w:ind w:left="1080" w:right="-90"/>
      </w:pPr>
      <w:r w:rsidRPr="007344A4">
        <w:rPr>
          <w:sz w:val="20"/>
        </w:rPr>
        <w:t xml:space="preserve">Included in </w:t>
      </w:r>
      <w:r w:rsidR="00066125">
        <w:rPr>
          <w:sz w:val="20"/>
        </w:rPr>
        <w:t xml:space="preserve">the results of others </w:t>
      </w:r>
      <w:r w:rsidRPr="007344A4">
        <w:rPr>
          <w:sz w:val="20"/>
        </w:rPr>
        <w:t>are non recurring items totaling RM5.38 million (2011: RM113.53 million) as disclosed in Note A</w:t>
      </w:r>
      <w:r w:rsidR="00066125">
        <w:rPr>
          <w:sz w:val="20"/>
        </w:rPr>
        <w:t>5</w:t>
      </w:r>
      <w:r w:rsidRPr="007344A4">
        <w:rPr>
          <w:sz w:val="20"/>
        </w:rPr>
        <w:t>.</w:t>
      </w:r>
      <w:r w:rsidR="001065C7">
        <w:rPr>
          <w:sz w:val="20"/>
        </w:rPr>
        <w:t xml:space="preserve">  </w:t>
      </w:r>
      <w:r w:rsidRPr="007344A4">
        <w:rPr>
          <w:sz w:val="20"/>
        </w:rPr>
        <w:t>Excluding the non</w:t>
      </w:r>
      <w:r w:rsidR="001065C7">
        <w:rPr>
          <w:sz w:val="20"/>
        </w:rPr>
        <w:t>-</w:t>
      </w:r>
      <w:r w:rsidRPr="007344A4">
        <w:rPr>
          <w:sz w:val="20"/>
        </w:rPr>
        <w:t>recurring items,</w:t>
      </w:r>
      <w:r w:rsidR="001065C7">
        <w:rPr>
          <w:sz w:val="20"/>
        </w:rPr>
        <w:t xml:space="preserve"> th</w:t>
      </w:r>
      <w:r w:rsidR="00066125">
        <w:rPr>
          <w:sz w:val="20"/>
        </w:rPr>
        <w:t>e</w:t>
      </w:r>
      <w:r w:rsidR="001065C7">
        <w:rPr>
          <w:sz w:val="20"/>
        </w:rPr>
        <w:t xml:space="preserve"> result would be a loss of RM22.28 million instead of </w:t>
      </w:r>
      <w:r w:rsidRPr="007344A4">
        <w:rPr>
          <w:sz w:val="20"/>
        </w:rPr>
        <w:t>a prof</w:t>
      </w:r>
      <w:r w:rsidR="001065C7">
        <w:rPr>
          <w:sz w:val="20"/>
        </w:rPr>
        <w:t>it before tax of RM4.49 million</w:t>
      </w:r>
      <w:r w:rsidRPr="007344A4">
        <w:rPr>
          <w:sz w:val="20"/>
        </w:rPr>
        <w:t>.</w:t>
      </w:r>
      <w:r w:rsidR="001065C7">
        <w:rPr>
          <w:sz w:val="20"/>
        </w:rPr>
        <w:t xml:space="preserve">  </w:t>
      </w:r>
      <w:r w:rsidRPr="007344A4">
        <w:rPr>
          <w:sz w:val="20"/>
        </w:rPr>
        <w:t>The losses were primarily due to increased losses in PNG of RM7.75 million, increased interest costs of RM2.61 million</w:t>
      </w:r>
      <w:r w:rsidR="001065C7">
        <w:rPr>
          <w:sz w:val="20"/>
        </w:rPr>
        <w:t xml:space="preserve"> </w:t>
      </w:r>
      <w:r w:rsidRPr="007344A4">
        <w:rPr>
          <w:sz w:val="20"/>
        </w:rPr>
        <w:t>(RM5.60 million for Q2 2011 versus RM8.20 million for the current year quarter) consequent to the increased borrowings and strengthening of the Kina against the RM.</w:t>
      </w:r>
    </w:p>
    <w:p w:rsidR="007344A4" w:rsidRDefault="007344A4" w:rsidP="007344A4">
      <w:pPr>
        <w:jc w:val="both"/>
      </w:pPr>
    </w:p>
    <w:p w:rsidR="007344A4" w:rsidRDefault="007344A4" w:rsidP="007344A4">
      <w:pPr>
        <w:jc w:val="both"/>
      </w:pPr>
    </w:p>
    <w:p w:rsidR="007344A4" w:rsidRDefault="007344A4" w:rsidP="007344A4">
      <w:pPr>
        <w:jc w:val="both"/>
      </w:pPr>
    </w:p>
    <w:p w:rsidR="007344A4" w:rsidRPr="007344A4" w:rsidRDefault="007344A4" w:rsidP="00787662">
      <w:pPr>
        <w:ind w:firstLine="720"/>
        <w:jc w:val="both"/>
        <w:rPr>
          <w:b/>
        </w:rPr>
      </w:pPr>
      <w:r w:rsidRPr="007344A4">
        <w:rPr>
          <w:b/>
        </w:rPr>
        <w:t xml:space="preserve">Operations Review </w:t>
      </w:r>
      <w:proofErr w:type="gramStart"/>
      <w:r w:rsidRPr="007344A4">
        <w:rPr>
          <w:b/>
        </w:rPr>
        <w:t>For</w:t>
      </w:r>
      <w:proofErr w:type="gramEnd"/>
      <w:r w:rsidRPr="007344A4">
        <w:rPr>
          <w:b/>
        </w:rPr>
        <w:t xml:space="preserve"> The Six Months Period Ended 30 June 2012</w:t>
      </w:r>
    </w:p>
    <w:p w:rsidR="007344A4" w:rsidRPr="007344A4" w:rsidRDefault="007344A4" w:rsidP="007344A4">
      <w:pPr>
        <w:jc w:val="both"/>
        <w:rPr>
          <w:b/>
        </w:rPr>
      </w:pPr>
    </w:p>
    <w:p w:rsidR="007344A4" w:rsidRPr="007344A4" w:rsidRDefault="007344A4" w:rsidP="007344A4">
      <w:pPr>
        <w:pStyle w:val="BodyTextIndent"/>
        <w:numPr>
          <w:ilvl w:val="0"/>
          <w:numId w:val="17"/>
        </w:numPr>
        <w:ind w:right="-90"/>
        <w:rPr>
          <w:b/>
        </w:rPr>
      </w:pPr>
      <w:r w:rsidRPr="007344A4">
        <w:rPr>
          <w:b/>
          <w:sz w:val="20"/>
        </w:rPr>
        <w:t>Cards and Payment Services</w:t>
      </w:r>
    </w:p>
    <w:p w:rsidR="007344A4" w:rsidRPr="007344A4" w:rsidRDefault="007344A4" w:rsidP="007344A4">
      <w:pPr>
        <w:pStyle w:val="BodyTextIndent"/>
        <w:ind w:left="1080" w:right="-90"/>
        <w:rPr>
          <w:sz w:val="20"/>
        </w:rPr>
      </w:pPr>
      <w:r w:rsidRPr="007344A4">
        <w:rPr>
          <w:sz w:val="20"/>
        </w:rPr>
        <w:t xml:space="preserve">MBF Cards registered revenue of RM118.84 million for the first </w:t>
      </w:r>
      <w:r w:rsidR="00097903">
        <w:rPr>
          <w:sz w:val="20"/>
        </w:rPr>
        <w:t>half</w:t>
      </w:r>
      <w:r w:rsidRPr="007344A4">
        <w:rPr>
          <w:sz w:val="20"/>
        </w:rPr>
        <w:t xml:space="preserve"> of 2012, an increase of RM2.29 million or 2% from the same period of last year of RM116.55 million.</w:t>
      </w:r>
      <w:r w:rsidR="0024720B">
        <w:rPr>
          <w:sz w:val="20"/>
        </w:rPr>
        <w:t xml:space="preserve">  </w:t>
      </w:r>
      <w:r w:rsidRPr="007344A4">
        <w:rPr>
          <w:sz w:val="20"/>
        </w:rPr>
        <w:t>Its PBT was RM3</w:t>
      </w:r>
      <w:r w:rsidR="0024720B">
        <w:rPr>
          <w:sz w:val="20"/>
        </w:rPr>
        <w:t>1.77</w:t>
      </w:r>
      <w:r w:rsidRPr="007344A4">
        <w:rPr>
          <w:sz w:val="20"/>
        </w:rPr>
        <w:t xml:space="preserve"> million, RM4.</w:t>
      </w:r>
      <w:r w:rsidR="0024720B">
        <w:rPr>
          <w:sz w:val="20"/>
        </w:rPr>
        <w:t>36</w:t>
      </w:r>
      <w:r w:rsidRPr="007344A4">
        <w:rPr>
          <w:sz w:val="20"/>
        </w:rPr>
        <w:t xml:space="preserve"> million or 1</w:t>
      </w:r>
      <w:r w:rsidR="0024720B">
        <w:rPr>
          <w:sz w:val="20"/>
        </w:rPr>
        <w:t>6</w:t>
      </w:r>
      <w:r w:rsidRPr="007344A4">
        <w:rPr>
          <w:sz w:val="20"/>
        </w:rPr>
        <w:t>% higher than the RM2</w:t>
      </w:r>
      <w:r w:rsidR="0024720B">
        <w:rPr>
          <w:sz w:val="20"/>
        </w:rPr>
        <w:t>7.41</w:t>
      </w:r>
      <w:r w:rsidRPr="007344A4">
        <w:rPr>
          <w:sz w:val="20"/>
        </w:rPr>
        <w:t xml:space="preserve"> million achieved in </w:t>
      </w:r>
      <w:r w:rsidR="00066125">
        <w:rPr>
          <w:sz w:val="20"/>
        </w:rPr>
        <w:t xml:space="preserve">the corresponding period of </w:t>
      </w:r>
      <w:r w:rsidRPr="007344A4">
        <w:rPr>
          <w:sz w:val="20"/>
        </w:rPr>
        <w:t xml:space="preserve">2011. This was due to </w:t>
      </w:r>
      <w:r w:rsidR="00066125">
        <w:rPr>
          <w:sz w:val="20"/>
        </w:rPr>
        <w:t>reasons stated in the second quarter</w:t>
      </w:r>
      <w:r w:rsidR="00787662">
        <w:rPr>
          <w:sz w:val="20"/>
        </w:rPr>
        <w:t xml:space="preserve"> review</w:t>
      </w:r>
      <w:r w:rsidR="00066125">
        <w:rPr>
          <w:sz w:val="20"/>
        </w:rPr>
        <w:t xml:space="preserve"> above</w:t>
      </w:r>
      <w:r w:rsidR="0024720B">
        <w:rPr>
          <w:sz w:val="20"/>
        </w:rPr>
        <w:t>.</w:t>
      </w:r>
    </w:p>
    <w:p w:rsidR="007344A4" w:rsidRDefault="007344A4" w:rsidP="007344A4">
      <w:pPr>
        <w:pStyle w:val="BodyTextIndent"/>
        <w:ind w:left="1080" w:right="-90"/>
        <w:rPr>
          <w:sz w:val="20"/>
        </w:rPr>
      </w:pPr>
    </w:p>
    <w:p w:rsidR="007344A4" w:rsidRPr="007344A4" w:rsidRDefault="007344A4" w:rsidP="007344A4">
      <w:pPr>
        <w:pStyle w:val="BodyTextIndent"/>
        <w:numPr>
          <w:ilvl w:val="0"/>
          <w:numId w:val="17"/>
        </w:numPr>
        <w:ind w:right="-90"/>
        <w:rPr>
          <w:b/>
          <w:sz w:val="20"/>
        </w:rPr>
      </w:pPr>
      <w:r w:rsidRPr="007344A4">
        <w:rPr>
          <w:b/>
          <w:sz w:val="20"/>
        </w:rPr>
        <w:t>Papua New Guinea – Automotive</w:t>
      </w:r>
    </w:p>
    <w:p w:rsidR="007344A4" w:rsidRPr="007344A4" w:rsidRDefault="007344A4" w:rsidP="007344A4">
      <w:pPr>
        <w:pStyle w:val="BodyTextIndent"/>
        <w:ind w:left="1080" w:right="-90"/>
        <w:rPr>
          <w:sz w:val="20"/>
        </w:rPr>
      </w:pPr>
      <w:r w:rsidRPr="007344A4">
        <w:rPr>
          <w:sz w:val="20"/>
        </w:rPr>
        <w:t xml:space="preserve">This segment registered </w:t>
      </w:r>
      <w:r w:rsidR="00097903">
        <w:rPr>
          <w:sz w:val="20"/>
        </w:rPr>
        <w:t>an</w:t>
      </w:r>
      <w:r w:rsidRPr="007344A4">
        <w:rPr>
          <w:sz w:val="20"/>
        </w:rPr>
        <w:t xml:space="preserve"> increase of 7</w:t>
      </w:r>
      <w:r w:rsidR="00A568AA">
        <w:rPr>
          <w:sz w:val="20"/>
        </w:rPr>
        <w:t>4</w:t>
      </w:r>
      <w:r w:rsidRPr="007344A4">
        <w:rPr>
          <w:sz w:val="20"/>
        </w:rPr>
        <w:t xml:space="preserve">% in revenue boosted by the strengthening of the Kina </w:t>
      </w:r>
      <w:r w:rsidR="00795114">
        <w:rPr>
          <w:sz w:val="20"/>
        </w:rPr>
        <w:t>currency</w:t>
      </w:r>
      <w:r w:rsidRPr="007344A4">
        <w:rPr>
          <w:sz w:val="20"/>
        </w:rPr>
        <w:t xml:space="preserve">. The Malaysian Ringgit had depreciated 23% against the Kina in 2011.  The total number of vehicles sold </w:t>
      </w:r>
      <w:r w:rsidR="00097903">
        <w:rPr>
          <w:sz w:val="20"/>
        </w:rPr>
        <w:t xml:space="preserve">in the first half of </w:t>
      </w:r>
      <w:r w:rsidRPr="007344A4">
        <w:rPr>
          <w:sz w:val="20"/>
        </w:rPr>
        <w:t>2012 was 1,702 vers</w:t>
      </w:r>
      <w:r w:rsidR="00097903">
        <w:rPr>
          <w:sz w:val="20"/>
        </w:rPr>
        <w:t>u</w:t>
      </w:r>
      <w:r w:rsidR="00795114">
        <w:rPr>
          <w:sz w:val="20"/>
        </w:rPr>
        <w:t>s 1,211 in the corresponding period of 2011,</w:t>
      </w:r>
      <w:r w:rsidRPr="007344A4">
        <w:rPr>
          <w:sz w:val="20"/>
        </w:rPr>
        <w:t xml:space="preserve"> an increase of 491 units or 41 % due to the </w:t>
      </w:r>
      <w:proofErr w:type="spellStart"/>
      <w:r w:rsidRPr="007344A4">
        <w:rPr>
          <w:sz w:val="20"/>
        </w:rPr>
        <w:t>normalisation</w:t>
      </w:r>
      <w:proofErr w:type="spellEnd"/>
      <w:r w:rsidRPr="007344A4">
        <w:rPr>
          <w:sz w:val="20"/>
        </w:rPr>
        <w:t xml:space="preserve"> of supply </w:t>
      </w:r>
      <w:r w:rsidR="00097903">
        <w:rPr>
          <w:sz w:val="20"/>
        </w:rPr>
        <w:t xml:space="preserve">which had been </w:t>
      </w:r>
      <w:r w:rsidRPr="007344A4">
        <w:rPr>
          <w:sz w:val="20"/>
        </w:rPr>
        <w:t>disrupted following the tsunami in Japan and the floods in Bangkok.  The stock supply improved since the last quarter of 2011 and sales</w:t>
      </w:r>
      <w:r w:rsidR="00097903">
        <w:rPr>
          <w:sz w:val="20"/>
        </w:rPr>
        <w:t xml:space="preserve"> were</w:t>
      </w:r>
      <w:r w:rsidRPr="007344A4">
        <w:rPr>
          <w:sz w:val="20"/>
        </w:rPr>
        <w:t xml:space="preserve"> pick</w:t>
      </w:r>
      <w:r w:rsidR="00097903">
        <w:rPr>
          <w:sz w:val="20"/>
        </w:rPr>
        <w:t>ing</w:t>
      </w:r>
      <w:r w:rsidRPr="007344A4">
        <w:rPr>
          <w:sz w:val="20"/>
        </w:rPr>
        <w:t xml:space="preserve"> up since.</w:t>
      </w:r>
    </w:p>
    <w:p w:rsidR="007344A4" w:rsidRPr="007344A4" w:rsidRDefault="007344A4" w:rsidP="007344A4">
      <w:pPr>
        <w:ind w:left="720"/>
        <w:jc w:val="both"/>
      </w:pPr>
    </w:p>
    <w:p w:rsidR="007344A4" w:rsidRPr="007344A4" w:rsidRDefault="007344A4" w:rsidP="007344A4">
      <w:pPr>
        <w:ind w:left="1080"/>
        <w:jc w:val="both"/>
      </w:pPr>
      <w:r w:rsidRPr="007344A4">
        <w:t>The profit before tax was a Kina35.14 million (RM53.16 million)</w:t>
      </w:r>
      <w:r w:rsidR="00097903">
        <w:t xml:space="preserve">, </w:t>
      </w:r>
      <w:r w:rsidRPr="007344A4">
        <w:t>584% higher than the Kina5.14 million (RM6.31 million) reported for</w:t>
      </w:r>
      <w:r w:rsidR="00787662">
        <w:t xml:space="preserve"> the corresponding period in</w:t>
      </w:r>
      <w:r w:rsidRPr="007344A4">
        <w:t xml:space="preserve"> 2011 consequent </w:t>
      </w:r>
      <w:r w:rsidR="00795114">
        <w:t>to</w:t>
      </w:r>
      <w:r w:rsidRPr="007344A4">
        <w:t xml:space="preserve"> the increased revenue. </w:t>
      </w:r>
    </w:p>
    <w:p w:rsidR="007344A4" w:rsidRPr="007344A4" w:rsidRDefault="007344A4" w:rsidP="007344A4">
      <w:pPr>
        <w:pStyle w:val="BodyTextIndent"/>
        <w:ind w:left="1080" w:right="-90"/>
        <w:rPr>
          <w:sz w:val="20"/>
        </w:rPr>
      </w:pPr>
    </w:p>
    <w:p w:rsidR="007344A4" w:rsidRPr="007344A4" w:rsidRDefault="007344A4" w:rsidP="007344A4">
      <w:pPr>
        <w:pStyle w:val="BodyTextIndent"/>
        <w:numPr>
          <w:ilvl w:val="0"/>
          <w:numId w:val="17"/>
        </w:numPr>
        <w:ind w:right="-90"/>
        <w:rPr>
          <w:b/>
          <w:sz w:val="20"/>
        </w:rPr>
      </w:pPr>
      <w:r w:rsidRPr="007344A4">
        <w:rPr>
          <w:b/>
          <w:sz w:val="20"/>
        </w:rPr>
        <w:t>Papua New Guinea – Agriculture</w:t>
      </w:r>
    </w:p>
    <w:p w:rsidR="007344A4" w:rsidRPr="007344A4" w:rsidRDefault="007344A4" w:rsidP="007344A4">
      <w:pPr>
        <w:pStyle w:val="BodyTextIndent"/>
        <w:ind w:left="1080" w:right="-90"/>
        <w:rPr>
          <w:sz w:val="20"/>
        </w:rPr>
      </w:pPr>
      <w:r w:rsidRPr="007344A4">
        <w:rPr>
          <w:sz w:val="20"/>
        </w:rPr>
        <w:t>The lower revenue was due principally to the decrease in coconut oil prices from an average price of Kina4,346 per MT to Kina 2,694 per MT, partially</w:t>
      </w:r>
      <w:r w:rsidR="00097903">
        <w:rPr>
          <w:sz w:val="20"/>
        </w:rPr>
        <w:t xml:space="preserve"> offset</w:t>
      </w:r>
      <w:r w:rsidRPr="007344A4">
        <w:rPr>
          <w:sz w:val="20"/>
        </w:rPr>
        <w:t xml:space="preserve"> by the higher export copra sales (Kina 17.7 million or 12,931 MT). Total tonnage of coconut oil sold was lower than previous year by 9,613 MT or 53%. </w:t>
      </w:r>
    </w:p>
    <w:p w:rsidR="007344A4" w:rsidRPr="007344A4" w:rsidRDefault="007344A4" w:rsidP="007344A4">
      <w:pPr>
        <w:pStyle w:val="BodyTextIndent"/>
        <w:ind w:left="1080" w:right="-90"/>
        <w:rPr>
          <w:sz w:val="20"/>
        </w:rPr>
      </w:pPr>
    </w:p>
    <w:p w:rsidR="007344A4" w:rsidRPr="007344A4" w:rsidRDefault="00097903" w:rsidP="007344A4">
      <w:pPr>
        <w:pStyle w:val="BodyTextIndent"/>
        <w:ind w:left="1080" w:right="-90"/>
      </w:pPr>
      <w:r>
        <w:rPr>
          <w:sz w:val="20"/>
        </w:rPr>
        <w:t xml:space="preserve">Consequently </w:t>
      </w:r>
      <w:r w:rsidR="007344A4" w:rsidRPr="007344A4">
        <w:rPr>
          <w:sz w:val="20"/>
        </w:rPr>
        <w:t xml:space="preserve">this segment </w:t>
      </w:r>
      <w:r>
        <w:rPr>
          <w:sz w:val="20"/>
        </w:rPr>
        <w:t xml:space="preserve">reported a loss of </w:t>
      </w:r>
      <w:r w:rsidR="007344A4" w:rsidRPr="007344A4">
        <w:rPr>
          <w:sz w:val="20"/>
        </w:rPr>
        <w:t>Kina23.47 million (RM</w:t>
      </w:r>
      <w:r w:rsidR="004C531E">
        <w:rPr>
          <w:sz w:val="20"/>
        </w:rPr>
        <w:t>35.50 million</w:t>
      </w:r>
      <w:r w:rsidR="007344A4" w:rsidRPr="007344A4">
        <w:rPr>
          <w:sz w:val="20"/>
        </w:rPr>
        <w:t>) versus</w:t>
      </w:r>
      <w:r>
        <w:rPr>
          <w:sz w:val="20"/>
        </w:rPr>
        <w:t xml:space="preserve"> a</w:t>
      </w:r>
      <w:r w:rsidR="004C531E">
        <w:rPr>
          <w:sz w:val="20"/>
        </w:rPr>
        <w:t xml:space="preserve"> profit of Kina11.97 million (</w:t>
      </w:r>
      <w:r w:rsidR="007344A4" w:rsidRPr="007344A4">
        <w:rPr>
          <w:sz w:val="20"/>
        </w:rPr>
        <w:t>RM14.72 million)</w:t>
      </w:r>
      <w:r>
        <w:rPr>
          <w:sz w:val="20"/>
        </w:rPr>
        <w:t xml:space="preserve"> for the corresponding period in 2011.</w:t>
      </w:r>
    </w:p>
    <w:p w:rsidR="007344A4" w:rsidRPr="007344A4" w:rsidRDefault="007344A4" w:rsidP="007344A4">
      <w:pPr>
        <w:pStyle w:val="BodyTextIndent"/>
        <w:ind w:left="1080" w:right="-90"/>
        <w:rPr>
          <w:sz w:val="20"/>
        </w:rPr>
      </w:pPr>
      <w:r w:rsidRPr="007344A4">
        <w:rPr>
          <w:sz w:val="20"/>
        </w:rPr>
        <w:t xml:space="preserve">                                                                                                                                                                                                                                                                                                                                                                                                                                                                                                                                                                                                                                                                                                                                                                                                                                                                                                                                                                                                                                                                                                                                                                                                                                                                                                                                                                                                                                                                                                                                                                                                                                                                                                                                        </w:t>
      </w:r>
    </w:p>
    <w:p w:rsidR="007344A4" w:rsidRPr="007344A4" w:rsidRDefault="007344A4" w:rsidP="007344A4">
      <w:pPr>
        <w:pStyle w:val="BodyTextIndent"/>
        <w:numPr>
          <w:ilvl w:val="0"/>
          <w:numId w:val="17"/>
        </w:numPr>
        <w:ind w:right="-90"/>
        <w:rPr>
          <w:b/>
          <w:sz w:val="20"/>
        </w:rPr>
      </w:pPr>
      <w:r w:rsidRPr="007344A4">
        <w:rPr>
          <w:b/>
          <w:sz w:val="20"/>
        </w:rPr>
        <w:t>Fiji – Retail and Wholesale</w:t>
      </w:r>
    </w:p>
    <w:p w:rsidR="007344A4" w:rsidRPr="007344A4" w:rsidRDefault="007344A4" w:rsidP="007344A4">
      <w:pPr>
        <w:pStyle w:val="BodyTextIndent"/>
        <w:ind w:left="1080" w:right="-90"/>
        <w:rPr>
          <w:sz w:val="20"/>
        </w:rPr>
      </w:pPr>
      <w:r w:rsidRPr="007344A4">
        <w:rPr>
          <w:sz w:val="20"/>
        </w:rPr>
        <w:t xml:space="preserve">Total revenue </w:t>
      </w:r>
      <w:r w:rsidR="00097903">
        <w:rPr>
          <w:sz w:val="20"/>
        </w:rPr>
        <w:t>for the current period</w:t>
      </w:r>
      <w:r w:rsidRPr="007344A4">
        <w:rPr>
          <w:sz w:val="20"/>
        </w:rPr>
        <w:t xml:space="preserve"> increased by FJD18.76 million (RM35.73million) or 18% compared to previous year despite a flat economy and fierce competition.  Improved revenue and </w:t>
      </w:r>
      <w:r w:rsidR="00020404">
        <w:rPr>
          <w:sz w:val="20"/>
        </w:rPr>
        <w:t xml:space="preserve">controlled </w:t>
      </w:r>
      <w:r w:rsidRPr="007344A4">
        <w:rPr>
          <w:sz w:val="20"/>
        </w:rPr>
        <w:t>expenses</w:t>
      </w:r>
      <w:r w:rsidR="00020404">
        <w:rPr>
          <w:sz w:val="20"/>
        </w:rPr>
        <w:t xml:space="preserve"> were the attributes for the segment turning around with</w:t>
      </w:r>
      <w:r w:rsidRPr="007344A4">
        <w:rPr>
          <w:sz w:val="20"/>
        </w:rPr>
        <w:t xml:space="preserve"> a nominal operating profit of FJD0.39 million (RM0.68 million) from the previous year’s loss of FJD6.82 million (RM11.53 million).</w:t>
      </w:r>
      <w:r w:rsidRPr="007344A4">
        <w:t xml:space="preserve"> </w:t>
      </w:r>
      <w:r w:rsidRPr="007344A4">
        <w:rPr>
          <w:sz w:val="20"/>
        </w:rPr>
        <w:t xml:space="preserve">The current </w:t>
      </w:r>
      <w:r w:rsidR="00020404">
        <w:rPr>
          <w:sz w:val="20"/>
        </w:rPr>
        <w:t>period</w:t>
      </w:r>
      <w:r w:rsidRPr="007344A4">
        <w:rPr>
          <w:sz w:val="20"/>
        </w:rPr>
        <w:t>’s loss before tax including the non-recurring flood loss of FJD3.25 million (RM5.61 million), was FJ</w:t>
      </w:r>
      <w:r w:rsidR="00020404">
        <w:rPr>
          <w:sz w:val="20"/>
        </w:rPr>
        <w:t xml:space="preserve">D2.86 million (RM4.93 million) compared to the corresponding period in 2011 of FJD6.82 million (RM11.53 million). </w:t>
      </w:r>
    </w:p>
    <w:p w:rsidR="007344A4" w:rsidRPr="007344A4" w:rsidRDefault="007344A4" w:rsidP="007344A4">
      <w:pPr>
        <w:pStyle w:val="BodyTextIndent"/>
        <w:ind w:left="1080" w:right="-90"/>
        <w:rPr>
          <w:sz w:val="20"/>
        </w:rPr>
      </w:pPr>
    </w:p>
    <w:p w:rsidR="007344A4" w:rsidRPr="007344A4" w:rsidRDefault="007344A4" w:rsidP="00020404">
      <w:pPr>
        <w:pStyle w:val="ListParagraph"/>
        <w:numPr>
          <w:ilvl w:val="0"/>
          <w:numId w:val="20"/>
        </w:numPr>
        <w:tabs>
          <w:tab w:val="left" w:pos="1080"/>
          <w:tab w:val="left" w:pos="1170"/>
        </w:tabs>
        <w:ind w:left="630" w:firstLine="90"/>
        <w:jc w:val="both"/>
        <w:rPr>
          <w:b/>
        </w:rPr>
      </w:pPr>
      <w:r w:rsidRPr="007344A4">
        <w:rPr>
          <w:b/>
        </w:rPr>
        <w:t>Fiji – Automotive</w:t>
      </w:r>
    </w:p>
    <w:p w:rsidR="007344A4" w:rsidRPr="007344A4" w:rsidRDefault="007344A4" w:rsidP="007344A4">
      <w:pPr>
        <w:pStyle w:val="ListParagraph"/>
        <w:ind w:left="1080"/>
        <w:jc w:val="both"/>
      </w:pPr>
      <w:r w:rsidRPr="007344A4">
        <w:t xml:space="preserve">Total revenue for </w:t>
      </w:r>
      <w:r w:rsidR="00020404">
        <w:t>the period under review</w:t>
      </w:r>
      <w:r w:rsidRPr="007344A4">
        <w:t xml:space="preserve"> was FJD72.07 million (RM124.24 million) compared to </w:t>
      </w:r>
      <w:r w:rsidR="00020404">
        <w:t>the corresponding period in</w:t>
      </w:r>
      <w:r w:rsidRPr="007344A4">
        <w:t xml:space="preserve"> 2011 of FJD66.22 million (RM111.98 million), higher by FJD5.86 million (RM12.26 million) or 9% because of the generally higher sales volume </w:t>
      </w:r>
      <w:r w:rsidR="00724017">
        <w:t>for</w:t>
      </w:r>
      <w:r w:rsidRPr="007344A4">
        <w:t xml:space="preserve"> in both the new and used vehicles, </w:t>
      </w:r>
      <w:proofErr w:type="spellStart"/>
      <w:r w:rsidRPr="007344A4">
        <w:t>autoparts</w:t>
      </w:r>
      <w:proofErr w:type="spellEnd"/>
      <w:r w:rsidRPr="007344A4">
        <w:t xml:space="preserve"> and car rental business. Profit before tax of FJD1.89 million (RM3.24 million) was FJD1.09 million (RM1.89 million) or 136% higher than the previous year’s </w:t>
      </w:r>
      <w:r w:rsidR="00020404">
        <w:t xml:space="preserve">corresponding period </w:t>
      </w:r>
      <w:r w:rsidRPr="007344A4">
        <w:t>of FJD0.80 million (RM1.35 million).</w:t>
      </w:r>
    </w:p>
    <w:p w:rsidR="007344A4" w:rsidRPr="007344A4" w:rsidRDefault="007344A4" w:rsidP="007344A4">
      <w:pPr>
        <w:ind w:left="720"/>
        <w:jc w:val="both"/>
        <w:rPr>
          <w:b/>
        </w:rPr>
      </w:pPr>
    </w:p>
    <w:p w:rsidR="007344A4" w:rsidRPr="007344A4" w:rsidRDefault="007344A4" w:rsidP="00E743BB">
      <w:pPr>
        <w:numPr>
          <w:ilvl w:val="0"/>
          <w:numId w:val="21"/>
        </w:numPr>
        <w:tabs>
          <w:tab w:val="left" w:pos="1080"/>
        </w:tabs>
        <w:ind w:left="720" w:firstLine="0"/>
        <w:jc w:val="both"/>
        <w:rPr>
          <w:b/>
        </w:rPr>
      </w:pPr>
      <w:r w:rsidRPr="007344A4">
        <w:rPr>
          <w:b/>
        </w:rPr>
        <w:t>Fiji – Property</w:t>
      </w:r>
    </w:p>
    <w:p w:rsidR="007344A4" w:rsidRPr="007344A4" w:rsidRDefault="00F25806" w:rsidP="007344A4">
      <w:pPr>
        <w:pStyle w:val="ListParagraph"/>
        <w:ind w:left="1080"/>
        <w:jc w:val="both"/>
        <w:rPr>
          <w:color w:val="FF0000"/>
        </w:rPr>
      </w:pPr>
      <w:r>
        <w:t>This segment</w:t>
      </w:r>
      <w:r w:rsidR="007344A4" w:rsidRPr="007344A4">
        <w:t xml:space="preserve"> recorded revenue of FJD5.75 million (RM9.12 million) </w:t>
      </w:r>
      <w:r w:rsidR="00020404">
        <w:t xml:space="preserve">for the first half of 2012 </w:t>
      </w:r>
      <w:r w:rsidR="007344A4" w:rsidRPr="007344A4">
        <w:t>compared to FJD7.57 million (RM12.80 million) in the preceding year</w:t>
      </w:r>
      <w:r w:rsidR="00020404">
        <w:t>’s corresponding period</w:t>
      </w:r>
      <w:r w:rsidR="00694214">
        <w:t>, a</w:t>
      </w:r>
      <w:r w:rsidR="007344A4" w:rsidRPr="007344A4">
        <w:t xml:space="preserve"> decrease of FJD1.82 or 24% primarily due to lower rental rates.</w:t>
      </w:r>
    </w:p>
    <w:p w:rsidR="007344A4" w:rsidRPr="007344A4" w:rsidRDefault="007344A4" w:rsidP="007344A4">
      <w:pPr>
        <w:pStyle w:val="ListParagraph"/>
        <w:ind w:left="1080"/>
        <w:jc w:val="both"/>
      </w:pPr>
    </w:p>
    <w:p w:rsidR="007344A4" w:rsidRPr="007344A4" w:rsidRDefault="007344A4" w:rsidP="007344A4">
      <w:pPr>
        <w:ind w:left="1080"/>
        <w:jc w:val="both"/>
      </w:pPr>
      <w:r w:rsidRPr="007344A4">
        <w:t xml:space="preserve">Its profit before tax </w:t>
      </w:r>
      <w:r w:rsidR="00E743BB">
        <w:t xml:space="preserve">for the current period </w:t>
      </w:r>
      <w:r w:rsidRPr="007344A4">
        <w:t>was FJD0.52 million (RM0.89 million) or 76% lower than FY2011’s</w:t>
      </w:r>
      <w:r w:rsidR="00E743BB">
        <w:t xml:space="preserve"> corresponding period</w:t>
      </w:r>
      <w:r w:rsidRPr="007344A4">
        <w:t xml:space="preserve"> of FJD 2.13 million (RM3.59 million) due generally to the decrease in revenue.</w:t>
      </w:r>
    </w:p>
    <w:p w:rsidR="007344A4" w:rsidRPr="007344A4" w:rsidRDefault="007344A4" w:rsidP="007344A4">
      <w:pPr>
        <w:pStyle w:val="BodyTextIndent"/>
        <w:ind w:left="1080" w:right="-90"/>
        <w:rPr>
          <w:sz w:val="20"/>
        </w:rPr>
      </w:pPr>
    </w:p>
    <w:p w:rsidR="007344A4" w:rsidRPr="007344A4" w:rsidRDefault="007344A4" w:rsidP="00E743BB">
      <w:pPr>
        <w:pStyle w:val="BodyTextIndent"/>
        <w:numPr>
          <w:ilvl w:val="0"/>
          <w:numId w:val="25"/>
        </w:numPr>
        <w:tabs>
          <w:tab w:val="left" w:pos="990"/>
          <w:tab w:val="left" w:pos="1080"/>
          <w:tab w:val="left" w:pos="1350"/>
        </w:tabs>
        <w:ind w:left="720" w:right="-90" w:firstLine="0"/>
        <w:rPr>
          <w:b/>
          <w:sz w:val="20"/>
        </w:rPr>
      </w:pPr>
      <w:r w:rsidRPr="007344A4">
        <w:rPr>
          <w:b/>
          <w:sz w:val="20"/>
        </w:rPr>
        <w:t xml:space="preserve">  Shipping</w:t>
      </w:r>
    </w:p>
    <w:p w:rsidR="00066125" w:rsidRDefault="00066125" w:rsidP="00787662">
      <w:pPr>
        <w:pStyle w:val="ListParagraph"/>
        <w:ind w:left="1080"/>
        <w:jc w:val="both"/>
      </w:pPr>
      <w:r w:rsidRPr="00066125">
        <w:t xml:space="preserve">Total revenue for the Shipping segment was RM73.08 million compared to RM72.70 million in 2011. Losses from the main line reduced by RM10.05 million compared to same period 2011 to RM16.92 million. 76% of the current </w:t>
      </w:r>
      <w:r w:rsidR="00787662">
        <w:t>period</w:t>
      </w:r>
      <w:r w:rsidRPr="00066125">
        <w:t xml:space="preserve"> loss for the main line related to Q1 and 24% to Q2, reflecting the improving trend on the international shipping service. The increased losses from PNG agency and set up costs of the PNG coastal service (of RM 4.4 Million) resulted in the overall pr</w:t>
      </w:r>
      <w:r w:rsidR="00D72479">
        <w:t>etax loss of RM16.09 million for the first half of</w:t>
      </w:r>
      <w:r w:rsidRPr="00066125">
        <w:t xml:space="preserve"> 2012 compared to RM23.26 million </w:t>
      </w:r>
      <w:r w:rsidR="00D72479">
        <w:t>for the corresponding period in</w:t>
      </w:r>
      <w:r w:rsidRPr="00066125">
        <w:t xml:space="preserve"> 2011, an overall </w:t>
      </w:r>
      <w:r w:rsidR="00D72479">
        <w:t>improvement</w:t>
      </w:r>
      <w:r w:rsidRPr="00066125">
        <w:t xml:space="preserve"> for all shipping divisions of RM7.17 million or 30% improvement. </w:t>
      </w:r>
    </w:p>
    <w:p w:rsidR="00787662" w:rsidRPr="00066125" w:rsidRDefault="00787662" w:rsidP="00066125">
      <w:pPr>
        <w:pStyle w:val="ListParagraph"/>
        <w:ind w:left="1080"/>
      </w:pPr>
    </w:p>
    <w:p w:rsidR="007344A4" w:rsidRPr="007344A4" w:rsidRDefault="007344A4" w:rsidP="00E743BB">
      <w:pPr>
        <w:pStyle w:val="BodyTextIndent"/>
        <w:numPr>
          <w:ilvl w:val="0"/>
          <w:numId w:val="25"/>
        </w:numPr>
        <w:tabs>
          <w:tab w:val="left" w:pos="1080"/>
        </w:tabs>
        <w:ind w:right="-90"/>
        <w:rPr>
          <w:b/>
          <w:sz w:val="20"/>
        </w:rPr>
      </w:pPr>
      <w:r w:rsidRPr="007344A4">
        <w:rPr>
          <w:b/>
          <w:sz w:val="20"/>
        </w:rPr>
        <w:t>Other</w:t>
      </w:r>
      <w:r w:rsidR="00724017">
        <w:rPr>
          <w:b/>
          <w:sz w:val="20"/>
        </w:rPr>
        <w:t>s</w:t>
      </w:r>
    </w:p>
    <w:p w:rsidR="007344A4" w:rsidRPr="007344A4" w:rsidRDefault="007344A4" w:rsidP="007344A4">
      <w:pPr>
        <w:pStyle w:val="BodyTextIndent"/>
        <w:ind w:left="1080" w:right="-90"/>
        <w:rPr>
          <w:sz w:val="20"/>
        </w:rPr>
      </w:pPr>
      <w:r w:rsidRPr="007344A4">
        <w:rPr>
          <w:sz w:val="20"/>
        </w:rPr>
        <w:t xml:space="preserve">Included in </w:t>
      </w:r>
      <w:r w:rsidR="00724017">
        <w:rPr>
          <w:sz w:val="20"/>
        </w:rPr>
        <w:t xml:space="preserve">the results of </w:t>
      </w:r>
      <w:r w:rsidRPr="007344A4">
        <w:rPr>
          <w:sz w:val="20"/>
        </w:rPr>
        <w:t>other</w:t>
      </w:r>
      <w:r w:rsidR="00E743BB">
        <w:rPr>
          <w:sz w:val="20"/>
        </w:rPr>
        <w:t xml:space="preserve">s </w:t>
      </w:r>
      <w:r w:rsidRPr="007344A4">
        <w:rPr>
          <w:sz w:val="20"/>
        </w:rPr>
        <w:t>are non recurring items totaling RM5.</w:t>
      </w:r>
      <w:r w:rsidR="00E743BB">
        <w:rPr>
          <w:sz w:val="20"/>
        </w:rPr>
        <w:t>46</w:t>
      </w:r>
      <w:r w:rsidRPr="007344A4">
        <w:rPr>
          <w:sz w:val="20"/>
        </w:rPr>
        <w:t xml:space="preserve"> million (2011: RM113.53 million) as disclosed in Note A</w:t>
      </w:r>
      <w:r w:rsidR="00724017">
        <w:rPr>
          <w:sz w:val="20"/>
        </w:rPr>
        <w:t>5</w:t>
      </w:r>
      <w:r w:rsidRPr="007344A4">
        <w:rPr>
          <w:sz w:val="20"/>
        </w:rPr>
        <w:t>.</w:t>
      </w:r>
    </w:p>
    <w:p w:rsidR="007344A4" w:rsidRPr="007344A4" w:rsidRDefault="007344A4" w:rsidP="007344A4">
      <w:pPr>
        <w:pStyle w:val="BodyTextIndent"/>
        <w:ind w:left="1080" w:right="-90"/>
        <w:rPr>
          <w:sz w:val="20"/>
        </w:rPr>
      </w:pPr>
    </w:p>
    <w:p w:rsidR="007344A4" w:rsidRPr="007344A4" w:rsidRDefault="007344A4" w:rsidP="007344A4">
      <w:pPr>
        <w:ind w:left="1080"/>
        <w:jc w:val="both"/>
      </w:pPr>
      <w:r w:rsidRPr="007344A4">
        <w:t>“Others” include provision of support services for information systems and office equipment, printing of packaging boxes, manufacturing and distribution of tinned food, provision of financial services and investment holdings, none of which are of a significant size to be reported separately. While revenue of</w:t>
      </w:r>
      <w:r w:rsidR="00724017">
        <w:t xml:space="preserve"> others</w:t>
      </w:r>
      <w:r w:rsidRPr="007344A4">
        <w:t xml:space="preserve"> increased by RM29.41 million or 12% to RM265.63 million from last year’s</w:t>
      </w:r>
      <w:r w:rsidR="00E743BB">
        <w:t xml:space="preserve"> corresponding period</w:t>
      </w:r>
      <w:r w:rsidRPr="007344A4">
        <w:t xml:space="preserve"> of RM236.21 million, net losses from </w:t>
      </w:r>
      <w:r w:rsidR="00724017">
        <w:t xml:space="preserve">these </w:t>
      </w:r>
      <w:r w:rsidRPr="007344A4">
        <w:t>operations (excluding the non-recurring items) increased from RM1.76 million to RM31.63 million primarily due to :-</w:t>
      </w:r>
    </w:p>
    <w:p w:rsidR="007344A4" w:rsidRPr="007344A4" w:rsidRDefault="007344A4" w:rsidP="007344A4">
      <w:pPr>
        <w:ind w:left="1080"/>
        <w:jc w:val="both"/>
      </w:pPr>
    </w:p>
    <w:p w:rsidR="007344A4" w:rsidRPr="007344A4" w:rsidRDefault="007344A4" w:rsidP="007344A4">
      <w:pPr>
        <w:pStyle w:val="ListParagraph"/>
        <w:numPr>
          <w:ilvl w:val="0"/>
          <w:numId w:val="18"/>
        </w:numPr>
        <w:jc w:val="both"/>
      </w:pPr>
      <w:r w:rsidRPr="007344A4">
        <w:t xml:space="preserve">Higher losses reported by operations in PNG (by RM11.63 million), a consequence of higher write down of inventories and impairment allowance </w:t>
      </w:r>
      <w:r w:rsidR="00E743BB">
        <w:t>for</w:t>
      </w:r>
      <w:r w:rsidRPr="007344A4">
        <w:t xml:space="preserve"> trade receivables;</w:t>
      </w:r>
    </w:p>
    <w:p w:rsidR="007344A4" w:rsidRPr="007344A4" w:rsidRDefault="007344A4" w:rsidP="007344A4">
      <w:pPr>
        <w:pStyle w:val="ListParagraph"/>
        <w:numPr>
          <w:ilvl w:val="0"/>
          <w:numId w:val="18"/>
        </w:numPr>
        <w:jc w:val="both"/>
      </w:pPr>
      <w:r w:rsidRPr="007344A4">
        <w:t xml:space="preserve">Additional </w:t>
      </w:r>
      <w:r w:rsidR="00E743BB">
        <w:t>expenses</w:t>
      </w:r>
      <w:r w:rsidR="00724017">
        <w:t xml:space="preserve"> (RM</w:t>
      </w:r>
      <w:r w:rsidRPr="007344A4">
        <w:t xml:space="preserve">7.29 million) incurred by Vintage Developers </w:t>
      </w:r>
      <w:proofErr w:type="spellStart"/>
      <w:r w:rsidRPr="007344A4">
        <w:t>Sdn</w:t>
      </w:r>
      <w:proofErr w:type="spellEnd"/>
      <w:r w:rsidRPr="007344A4">
        <w:t xml:space="preserve"> </w:t>
      </w:r>
      <w:proofErr w:type="spellStart"/>
      <w:r w:rsidRPr="007344A4">
        <w:t>Bhd</w:t>
      </w:r>
      <w:proofErr w:type="spellEnd"/>
      <w:r w:rsidRPr="007344A4">
        <w:t xml:space="preserve"> for </w:t>
      </w:r>
      <w:r w:rsidR="00E743BB">
        <w:t>quit rent and interest payable following the completion of the purchase for the land in Kulim, Kedah.</w:t>
      </w:r>
    </w:p>
    <w:p w:rsidR="007344A4" w:rsidRPr="007344A4" w:rsidRDefault="007344A4" w:rsidP="007344A4">
      <w:pPr>
        <w:pStyle w:val="ListParagraph"/>
        <w:numPr>
          <w:ilvl w:val="0"/>
          <w:numId w:val="18"/>
        </w:numPr>
        <w:jc w:val="both"/>
      </w:pPr>
      <w:r w:rsidRPr="007344A4">
        <w:t xml:space="preserve">Adverse performance (by RM3.78 million) reported by the subsidiary in China, Hangzhou </w:t>
      </w:r>
      <w:proofErr w:type="spellStart"/>
      <w:r w:rsidRPr="007344A4">
        <w:t>Xinma</w:t>
      </w:r>
      <w:proofErr w:type="spellEnd"/>
      <w:r w:rsidRPr="007344A4">
        <w:t xml:space="preserve"> Elevator Company Limited which reported a loss of RM2.73 million v</w:t>
      </w:r>
      <w:r w:rsidR="00E743BB">
        <w:t>ersu</w:t>
      </w:r>
      <w:r w:rsidRPr="007344A4">
        <w:t xml:space="preserve">s a profit before tax of RM1.06 million for </w:t>
      </w:r>
      <w:r w:rsidR="00E743BB">
        <w:t>the corresponding period of</w:t>
      </w:r>
      <w:r w:rsidRPr="007344A4">
        <w:t xml:space="preserve"> 2011 due to extremely keen competition from </w:t>
      </w:r>
      <w:r w:rsidR="00E743BB">
        <w:t xml:space="preserve">the </w:t>
      </w:r>
      <w:r w:rsidRPr="007344A4">
        <w:t>other more established foreign brands; and</w:t>
      </w:r>
    </w:p>
    <w:p w:rsidR="007344A4" w:rsidRPr="007344A4" w:rsidRDefault="007344A4" w:rsidP="007344A4">
      <w:pPr>
        <w:pStyle w:val="ListParagraph"/>
        <w:numPr>
          <w:ilvl w:val="0"/>
          <w:numId w:val="18"/>
        </w:numPr>
        <w:jc w:val="both"/>
      </w:pPr>
      <w:r w:rsidRPr="007344A4">
        <w:t xml:space="preserve">Higher interest expenses incurred by the Group (of RM5.67 million) for the higher borrowings and banking facilities for its operations. </w:t>
      </w:r>
    </w:p>
    <w:p w:rsidR="007344A4" w:rsidRPr="007344A4" w:rsidRDefault="007344A4" w:rsidP="007344A4">
      <w:pPr>
        <w:pStyle w:val="BodyTextIndent"/>
        <w:ind w:left="1080" w:right="-90"/>
        <w:rPr>
          <w:sz w:val="20"/>
        </w:rPr>
      </w:pPr>
    </w:p>
    <w:p w:rsidR="007344A4" w:rsidRPr="007344A4" w:rsidRDefault="007344A4" w:rsidP="007344A4">
      <w:pPr>
        <w:pStyle w:val="BodyText"/>
        <w:tabs>
          <w:tab w:val="left" w:pos="0"/>
        </w:tabs>
        <w:ind w:left="720" w:right="-90" w:hanging="1800"/>
        <w:rPr>
          <w:sz w:val="20"/>
        </w:rPr>
      </w:pPr>
      <w:r w:rsidRPr="007344A4">
        <w:rPr>
          <w:sz w:val="20"/>
        </w:rPr>
        <w:tab/>
      </w:r>
      <w:r w:rsidRPr="007344A4">
        <w:rPr>
          <w:sz w:val="20"/>
        </w:rPr>
        <w:tab/>
      </w:r>
    </w:p>
    <w:p w:rsidR="007344A4" w:rsidRPr="007344A4" w:rsidRDefault="007344A4" w:rsidP="007344A4">
      <w:pPr>
        <w:pStyle w:val="BodyText"/>
        <w:ind w:right="-450"/>
        <w:rPr>
          <w:b/>
          <w:sz w:val="20"/>
        </w:rPr>
      </w:pPr>
      <w:r w:rsidRPr="007344A4">
        <w:rPr>
          <w:b/>
          <w:sz w:val="20"/>
        </w:rPr>
        <w:t>B2</w:t>
      </w:r>
      <w:r w:rsidRPr="007344A4">
        <w:rPr>
          <w:b/>
          <w:sz w:val="20"/>
        </w:rPr>
        <w:tab/>
        <w:t>Variation of results against preceding quarter</w:t>
      </w:r>
    </w:p>
    <w:p w:rsidR="007344A4" w:rsidRPr="007344A4" w:rsidRDefault="007344A4" w:rsidP="007344A4">
      <w:pPr>
        <w:pStyle w:val="BodyText"/>
        <w:tabs>
          <w:tab w:val="left" w:pos="0"/>
        </w:tabs>
        <w:ind w:left="720" w:right="-450" w:hanging="1800"/>
        <w:rPr>
          <w:sz w:val="20"/>
        </w:rPr>
      </w:pPr>
    </w:p>
    <w:p w:rsidR="00724017" w:rsidRDefault="007344A4" w:rsidP="007344A4">
      <w:pPr>
        <w:ind w:left="720"/>
        <w:jc w:val="both"/>
      </w:pPr>
      <w:r w:rsidRPr="007344A4">
        <w:t xml:space="preserve">The current quarter’s pre-tax </w:t>
      </w:r>
      <w:r w:rsidR="0090200A">
        <w:t>profit including MBF Cards</w:t>
      </w:r>
      <w:r w:rsidRPr="007344A4">
        <w:t xml:space="preserve"> of RM</w:t>
      </w:r>
      <w:r w:rsidR="0090200A">
        <w:t>20</w:t>
      </w:r>
      <w:r w:rsidRPr="007344A4">
        <w:t>.35 million was RM1</w:t>
      </w:r>
      <w:r w:rsidR="0090200A">
        <w:t>2.00</w:t>
      </w:r>
      <w:r w:rsidRPr="007344A4">
        <w:t xml:space="preserve"> million or </w:t>
      </w:r>
      <w:r w:rsidR="0090200A">
        <w:t>144</w:t>
      </w:r>
      <w:r w:rsidRPr="007344A4">
        <w:t xml:space="preserve">% </w:t>
      </w:r>
      <w:r w:rsidR="0090200A">
        <w:t>higher</w:t>
      </w:r>
      <w:r w:rsidRPr="007344A4">
        <w:t xml:space="preserve"> than the preceding quarter’s </w:t>
      </w:r>
      <w:r w:rsidR="0090200A">
        <w:t xml:space="preserve">pre-tax loss </w:t>
      </w:r>
      <w:r w:rsidRPr="007344A4">
        <w:t>of RM</w:t>
      </w:r>
      <w:r w:rsidR="0090200A">
        <w:t>8.35</w:t>
      </w:r>
      <w:r w:rsidRPr="007344A4">
        <w:t xml:space="preserve"> million.  Disregarding the non–recurring item</w:t>
      </w:r>
      <w:r w:rsidR="00724017">
        <w:t>s of</w:t>
      </w:r>
      <w:r w:rsidRPr="007344A4">
        <w:t xml:space="preserve"> </w:t>
      </w:r>
      <w:r w:rsidR="0090200A">
        <w:t xml:space="preserve">net gains </w:t>
      </w:r>
      <w:r w:rsidRPr="007344A4">
        <w:t>of RM3.</w:t>
      </w:r>
      <w:r w:rsidR="0090200A">
        <w:t>74</w:t>
      </w:r>
      <w:r w:rsidRPr="007344A4">
        <w:t xml:space="preserve"> million in the current quarter and the net </w:t>
      </w:r>
      <w:r w:rsidR="0090200A">
        <w:t>los</w:t>
      </w:r>
      <w:r w:rsidRPr="007344A4">
        <w:t>s of RM3.9</w:t>
      </w:r>
      <w:r w:rsidR="0090200A">
        <w:t>6</w:t>
      </w:r>
      <w:r w:rsidRPr="007344A4">
        <w:t xml:space="preserve"> million in the preceding quarter’s results, the operating </w:t>
      </w:r>
      <w:r w:rsidR="005F4CBF">
        <w:t>profit</w:t>
      </w:r>
      <w:r w:rsidRPr="007344A4">
        <w:t xml:space="preserve"> for the current quarter would be RM</w:t>
      </w:r>
      <w:r w:rsidR="005F4CBF">
        <w:t>16.61</w:t>
      </w:r>
      <w:r w:rsidRPr="007344A4">
        <w:t xml:space="preserve"> million compared to the preceding quarter</w:t>
      </w:r>
      <w:r w:rsidR="005F4CBF">
        <w:t xml:space="preserve"> operating loss</w:t>
      </w:r>
      <w:r w:rsidRPr="007344A4">
        <w:t xml:space="preserve"> of RM</w:t>
      </w:r>
      <w:r w:rsidR="005F4CBF">
        <w:t>4.39</w:t>
      </w:r>
      <w:r w:rsidRPr="007344A4">
        <w:t xml:space="preserve"> million. The </w:t>
      </w:r>
      <w:r w:rsidR="00D72479">
        <w:t>improvement</w:t>
      </w:r>
      <w:r w:rsidRPr="007344A4">
        <w:t xml:space="preserve"> was due to </w:t>
      </w:r>
      <w:r w:rsidR="00E743BB">
        <w:t>improved</w:t>
      </w:r>
      <w:r w:rsidRPr="007344A4">
        <w:t xml:space="preserve"> performances by the PNG operations, </w:t>
      </w:r>
      <w:r w:rsidR="00E743BB">
        <w:t>particular</w:t>
      </w:r>
      <w:r w:rsidRPr="007344A4">
        <w:t xml:space="preserve">ly its </w:t>
      </w:r>
      <w:proofErr w:type="gramStart"/>
      <w:r w:rsidRPr="007344A4">
        <w:t>Automotive</w:t>
      </w:r>
      <w:proofErr w:type="gramEnd"/>
      <w:r w:rsidRPr="007344A4">
        <w:t xml:space="preserve"> segment and lower lo</w:t>
      </w:r>
      <w:r w:rsidR="00724017">
        <w:t>sses from Shipping segment.</w:t>
      </w:r>
    </w:p>
    <w:p w:rsidR="007344A4" w:rsidRDefault="007344A4" w:rsidP="007344A4">
      <w:pPr>
        <w:ind w:left="720"/>
        <w:jc w:val="both"/>
      </w:pPr>
    </w:p>
    <w:p w:rsidR="007344A4" w:rsidRPr="007344A4" w:rsidRDefault="007344A4" w:rsidP="007344A4">
      <w:pPr>
        <w:pStyle w:val="BodyText"/>
        <w:tabs>
          <w:tab w:val="left" w:pos="0"/>
        </w:tabs>
        <w:ind w:left="720" w:right="-90" w:hanging="1800"/>
        <w:rPr>
          <w:color w:val="FF0000"/>
          <w:sz w:val="20"/>
        </w:rPr>
      </w:pPr>
    </w:p>
    <w:p w:rsidR="007344A4" w:rsidRPr="007344A4" w:rsidRDefault="007344A4" w:rsidP="007344A4">
      <w:pPr>
        <w:pStyle w:val="BodyText"/>
        <w:tabs>
          <w:tab w:val="left" w:pos="0"/>
        </w:tabs>
        <w:ind w:left="720" w:right="-90" w:hanging="1800"/>
        <w:rPr>
          <w:b/>
          <w:sz w:val="20"/>
        </w:rPr>
      </w:pPr>
      <w:r w:rsidRPr="007344A4">
        <w:rPr>
          <w:sz w:val="20"/>
        </w:rPr>
        <w:tab/>
      </w:r>
      <w:r w:rsidRPr="001F5ADC">
        <w:rPr>
          <w:b/>
          <w:sz w:val="20"/>
        </w:rPr>
        <w:t>B3</w:t>
      </w:r>
      <w:r w:rsidRPr="001F5ADC">
        <w:rPr>
          <w:sz w:val="20"/>
        </w:rPr>
        <w:tab/>
      </w:r>
      <w:r w:rsidRPr="001F5ADC">
        <w:rPr>
          <w:b/>
          <w:sz w:val="20"/>
        </w:rPr>
        <w:t>Prospects for 2012</w:t>
      </w:r>
    </w:p>
    <w:p w:rsidR="007344A4" w:rsidRPr="007344A4" w:rsidRDefault="007344A4" w:rsidP="007344A4">
      <w:pPr>
        <w:pStyle w:val="BodyText"/>
        <w:tabs>
          <w:tab w:val="left" w:pos="0"/>
        </w:tabs>
        <w:ind w:left="720" w:right="-90" w:hanging="1800"/>
        <w:rPr>
          <w:b/>
          <w:sz w:val="20"/>
        </w:rPr>
      </w:pPr>
    </w:p>
    <w:p w:rsidR="007344A4" w:rsidRPr="007344A4" w:rsidRDefault="007344A4" w:rsidP="007344A4">
      <w:pPr>
        <w:ind w:left="720"/>
        <w:jc w:val="both"/>
      </w:pPr>
      <w:r w:rsidRPr="007344A4">
        <w:t xml:space="preserve">With </w:t>
      </w:r>
      <w:r w:rsidR="00BE0CE8">
        <w:t xml:space="preserve">continuing uncertainties in the global economy stemming from the possible backlash of the European and US economies and signs of overheating in the East Asian economies, particularly in China and India, the Group anticipates an increasingly challenging outlook for its </w:t>
      </w:r>
      <w:r w:rsidR="001A262E">
        <w:t xml:space="preserve">continuing </w:t>
      </w:r>
      <w:r w:rsidR="00BE0CE8">
        <w:t>operations</w:t>
      </w:r>
      <w:r w:rsidRPr="007344A4">
        <w:t>.</w:t>
      </w:r>
    </w:p>
    <w:p w:rsidR="007344A4" w:rsidRPr="007344A4" w:rsidRDefault="007344A4" w:rsidP="007344A4">
      <w:pPr>
        <w:jc w:val="both"/>
      </w:pPr>
    </w:p>
    <w:p w:rsidR="007344A4" w:rsidRPr="007344A4" w:rsidRDefault="007344A4" w:rsidP="007344A4">
      <w:pPr>
        <w:numPr>
          <w:ilvl w:val="0"/>
          <w:numId w:val="7"/>
        </w:numPr>
        <w:ind w:left="990" w:hanging="270"/>
        <w:jc w:val="both"/>
      </w:pPr>
      <w:r w:rsidRPr="007344A4">
        <w:t xml:space="preserve">PNG Operations – The PNG economy remains strong spurred by its internal/government capital expenditure and this augurs well for the Group’s operations particularly its </w:t>
      </w:r>
      <w:proofErr w:type="gramStart"/>
      <w:r w:rsidRPr="007344A4">
        <w:t>Automotive</w:t>
      </w:r>
      <w:proofErr w:type="gramEnd"/>
      <w:r w:rsidRPr="007344A4">
        <w:t xml:space="preserve"> segment. However, its Agriculture </w:t>
      </w:r>
      <w:proofErr w:type="gramStart"/>
      <w:r w:rsidRPr="007344A4">
        <w:t>segment,</w:t>
      </w:r>
      <w:proofErr w:type="gramEnd"/>
      <w:r w:rsidRPr="007344A4">
        <w:t xml:space="preserve"> is expected to be affected by uncertain global demand, high import inflation and the appreciating PNG currency which may stifle foreign demand. </w:t>
      </w:r>
    </w:p>
    <w:p w:rsidR="007344A4" w:rsidRPr="007344A4" w:rsidRDefault="007344A4" w:rsidP="007344A4">
      <w:pPr>
        <w:jc w:val="both"/>
      </w:pPr>
    </w:p>
    <w:p w:rsidR="007344A4" w:rsidRPr="007344A4" w:rsidRDefault="007344A4" w:rsidP="007344A4">
      <w:pPr>
        <w:numPr>
          <w:ilvl w:val="0"/>
          <w:numId w:val="7"/>
        </w:numPr>
        <w:ind w:left="990" w:hanging="270"/>
        <w:jc w:val="both"/>
      </w:pPr>
      <w:r w:rsidRPr="007344A4">
        <w:t>Fiji Operations – Fiji’s growth outlook is expected to remain relatively quiet</w:t>
      </w:r>
      <w:r w:rsidR="000E41E6">
        <w:t xml:space="preserve"> but the Group is optimistic that </w:t>
      </w:r>
      <w:r w:rsidR="00B51CA3">
        <w:t xml:space="preserve">its </w:t>
      </w:r>
      <w:r w:rsidR="000E41E6">
        <w:t>operations should perform better than the previous year.</w:t>
      </w:r>
      <w:r w:rsidRPr="007344A4">
        <w:t xml:space="preserve"> </w:t>
      </w:r>
    </w:p>
    <w:p w:rsidR="007344A4" w:rsidRPr="00EB21DE" w:rsidRDefault="007344A4" w:rsidP="007344A4">
      <w:pPr>
        <w:ind w:left="360"/>
        <w:jc w:val="both"/>
      </w:pPr>
    </w:p>
    <w:p w:rsidR="007344A4" w:rsidRPr="00714B52" w:rsidRDefault="007344A4" w:rsidP="007344A4">
      <w:pPr>
        <w:pStyle w:val="ListParagraph"/>
        <w:numPr>
          <w:ilvl w:val="0"/>
          <w:numId w:val="7"/>
        </w:numPr>
        <w:ind w:left="990" w:hanging="270"/>
        <w:jc w:val="both"/>
      </w:pPr>
      <w:r w:rsidRPr="00714B52">
        <w:t xml:space="preserve">Shipping – </w:t>
      </w:r>
      <w:r w:rsidR="001A623F" w:rsidRPr="00714B52">
        <w:t>The Group having re-</w:t>
      </w:r>
      <w:proofErr w:type="spellStart"/>
      <w:r w:rsidR="001A623F" w:rsidRPr="00714B52">
        <w:t>organised</w:t>
      </w:r>
      <w:proofErr w:type="spellEnd"/>
      <w:r w:rsidR="001A623F" w:rsidRPr="00714B52">
        <w:t xml:space="preserve"> its fleet size and voyage routes is seeing some profits from the South Bound voyages and will strive to reduce the losses of its North Bound voyages. The planned revenue enhancements and cost efficiencies achieved and with the charter rate trending down these should augur well for the prospect of the shipping operation. The outlook for the PNG economy looks positive, as confirmed by the import volumes into PNG over the past months. Trade between Asia, </w:t>
      </w:r>
      <w:proofErr w:type="spellStart"/>
      <w:r w:rsidR="001A623F" w:rsidRPr="00714B52">
        <w:t>Solomons</w:t>
      </w:r>
      <w:proofErr w:type="spellEnd"/>
      <w:r w:rsidR="001A623F" w:rsidRPr="00714B52">
        <w:t xml:space="preserve"> and Vanuatu is expected to remain stable with modest growth.  On the international service the key focus will be growth of </w:t>
      </w:r>
      <w:proofErr w:type="gramStart"/>
      <w:r w:rsidR="001A623F" w:rsidRPr="00714B52">
        <w:t>Northbound</w:t>
      </w:r>
      <w:proofErr w:type="gramEnd"/>
      <w:r w:rsidR="001A623F" w:rsidRPr="00714B52">
        <w:t xml:space="preserve"> volumes to improve overall results. With the PNG coastal service now operational and all ships in service after various </w:t>
      </w:r>
      <w:proofErr w:type="spellStart"/>
      <w:r w:rsidR="001A623F" w:rsidRPr="00714B52">
        <w:t>drydockings</w:t>
      </w:r>
      <w:proofErr w:type="spellEnd"/>
      <w:r w:rsidR="001A623F" w:rsidRPr="00714B52">
        <w:t>, this service should start to improve through the remainder of the year.</w:t>
      </w:r>
    </w:p>
    <w:p w:rsidR="007344A4" w:rsidRPr="007344A4" w:rsidRDefault="007344A4" w:rsidP="007344A4">
      <w:pPr>
        <w:pStyle w:val="ListParagraph"/>
      </w:pPr>
      <w:bookmarkStart w:id="0" w:name="_GoBack"/>
      <w:bookmarkEnd w:id="0"/>
    </w:p>
    <w:p w:rsidR="007344A4" w:rsidRPr="007344A4" w:rsidRDefault="007344A4" w:rsidP="007344A4">
      <w:pPr>
        <w:ind w:left="720"/>
        <w:jc w:val="both"/>
      </w:pPr>
      <w:r w:rsidRPr="007344A4">
        <w:t xml:space="preserve">The Company’s focus for 2012 </w:t>
      </w:r>
      <w:r w:rsidR="000E41E6">
        <w:t>remains the same which are to</w:t>
      </w:r>
      <w:r w:rsidRPr="007344A4">
        <w:t xml:space="preserve"> achiev</w:t>
      </w:r>
      <w:r w:rsidR="000E41E6">
        <w:t>e</w:t>
      </w:r>
      <w:r w:rsidRPr="007344A4">
        <w:t xml:space="preserve"> greater group synergies</w:t>
      </w:r>
      <w:r w:rsidR="000E41E6">
        <w:t>,</w:t>
      </w:r>
      <w:r w:rsidRPr="007344A4">
        <w:t xml:space="preserve"> managing costs and production efficiency. Efforts shall include expanding its existing operations to increase market share and venturing into businesses which complement its shipping and retail operations. </w:t>
      </w:r>
    </w:p>
    <w:p w:rsidR="00714B52" w:rsidRDefault="00714B52" w:rsidP="006B460C">
      <w:pPr>
        <w:pStyle w:val="BodyText"/>
        <w:tabs>
          <w:tab w:val="left" w:pos="720"/>
        </w:tabs>
        <w:ind w:left="720" w:right="-450" w:hanging="720"/>
        <w:rPr>
          <w:b/>
          <w:sz w:val="20"/>
        </w:rPr>
      </w:pPr>
    </w:p>
    <w:p w:rsidR="0059386B" w:rsidRPr="007344A4" w:rsidRDefault="0059386B" w:rsidP="006B460C">
      <w:pPr>
        <w:pStyle w:val="BodyText"/>
        <w:tabs>
          <w:tab w:val="left" w:pos="720"/>
        </w:tabs>
        <w:ind w:left="720" w:right="-450" w:hanging="720"/>
        <w:rPr>
          <w:b/>
          <w:sz w:val="20"/>
        </w:rPr>
      </w:pPr>
      <w:r w:rsidRPr="007344A4">
        <w:rPr>
          <w:b/>
          <w:sz w:val="20"/>
        </w:rPr>
        <w:t>B4</w:t>
      </w:r>
      <w:r w:rsidRPr="007344A4">
        <w:rPr>
          <w:sz w:val="20"/>
        </w:rPr>
        <w:tab/>
      </w:r>
      <w:r w:rsidRPr="007344A4">
        <w:rPr>
          <w:b/>
          <w:sz w:val="20"/>
        </w:rPr>
        <w:t>Variance of actual profit from forecast profit</w:t>
      </w:r>
    </w:p>
    <w:p w:rsidR="00671D61" w:rsidRPr="007344A4" w:rsidRDefault="0059386B" w:rsidP="00491580">
      <w:pPr>
        <w:pStyle w:val="BodyText"/>
        <w:tabs>
          <w:tab w:val="left" w:pos="720"/>
        </w:tabs>
        <w:ind w:left="720" w:right="-450" w:hanging="1800"/>
        <w:rPr>
          <w:sz w:val="20"/>
        </w:rPr>
      </w:pPr>
      <w:r w:rsidRPr="007344A4">
        <w:rPr>
          <w:sz w:val="20"/>
        </w:rPr>
        <w:tab/>
      </w:r>
    </w:p>
    <w:p w:rsidR="0059386B" w:rsidRPr="007344A4" w:rsidRDefault="00671D61" w:rsidP="00491580">
      <w:pPr>
        <w:pStyle w:val="BodyText"/>
        <w:tabs>
          <w:tab w:val="left" w:pos="720"/>
        </w:tabs>
        <w:ind w:left="720" w:right="-450" w:hanging="1800"/>
        <w:rPr>
          <w:sz w:val="20"/>
        </w:rPr>
      </w:pPr>
      <w:r w:rsidRPr="007344A4">
        <w:rPr>
          <w:sz w:val="20"/>
        </w:rPr>
        <w:tab/>
      </w:r>
      <w:r w:rsidR="0059386B" w:rsidRPr="007344A4">
        <w:rPr>
          <w:sz w:val="20"/>
        </w:rPr>
        <w:t>The Company has not provided any forecast or profit</w:t>
      </w:r>
      <w:r w:rsidRPr="007344A4">
        <w:rPr>
          <w:sz w:val="20"/>
        </w:rPr>
        <w:t xml:space="preserve"> guarantee for t</w:t>
      </w:r>
      <w:r w:rsidR="00CC46BF" w:rsidRPr="007344A4">
        <w:rPr>
          <w:sz w:val="20"/>
        </w:rPr>
        <w:t>he</w:t>
      </w:r>
      <w:r w:rsidR="0089619D" w:rsidRPr="007344A4">
        <w:rPr>
          <w:sz w:val="20"/>
        </w:rPr>
        <w:t xml:space="preserve"> </w:t>
      </w:r>
      <w:r w:rsidR="00F512D5" w:rsidRPr="007344A4">
        <w:rPr>
          <w:sz w:val="20"/>
        </w:rPr>
        <w:t>period</w:t>
      </w:r>
      <w:r w:rsidR="0089619D" w:rsidRPr="007344A4">
        <w:rPr>
          <w:sz w:val="20"/>
        </w:rPr>
        <w:t xml:space="preserve"> </w:t>
      </w:r>
      <w:r w:rsidRPr="007344A4">
        <w:rPr>
          <w:sz w:val="20"/>
        </w:rPr>
        <w:t>under review.</w:t>
      </w:r>
    </w:p>
    <w:p w:rsidR="00B13918" w:rsidRPr="007344A4" w:rsidRDefault="00B13918" w:rsidP="00491580">
      <w:pPr>
        <w:pStyle w:val="BodyText"/>
        <w:tabs>
          <w:tab w:val="left" w:pos="720"/>
        </w:tabs>
        <w:ind w:left="720" w:right="-450" w:hanging="1800"/>
        <w:rPr>
          <w:sz w:val="20"/>
        </w:rPr>
      </w:pPr>
    </w:p>
    <w:p w:rsidR="0070027E" w:rsidRPr="007344A4" w:rsidRDefault="0070027E" w:rsidP="00491580">
      <w:pPr>
        <w:pStyle w:val="BodyText"/>
        <w:tabs>
          <w:tab w:val="left" w:pos="720"/>
        </w:tabs>
        <w:ind w:left="720" w:right="-450" w:hanging="1800"/>
        <w:rPr>
          <w:sz w:val="20"/>
        </w:rPr>
      </w:pPr>
    </w:p>
    <w:p w:rsidR="007233FD" w:rsidRPr="007344A4" w:rsidRDefault="0059386B" w:rsidP="00155A9D">
      <w:pPr>
        <w:pStyle w:val="BodyText"/>
        <w:tabs>
          <w:tab w:val="left" w:pos="720"/>
        </w:tabs>
        <w:ind w:left="720" w:right="-450" w:hanging="720"/>
        <w:rPr>
          <w:b/>
          <w:sz w:val="20"/>
        </w:rPr>
      </w:pPr>
      <w:r w:rsidRPr="007344A4">
        <w:rPr>
          <w:b/>
          <w:sz w:val="20"/>
        </w:rPr>
        <w:t>B5</w:t>
      </w:r>
      <w:r w:rsidRPr="007344A4">
        <w:rPr>
          <w:sz w:val="20"/>
        </w:rPr>
        <w:tab/>
      </w:r>
      <w:r w:rsidRPr="007344A4">
        <w:rPr>
          <w:b/>
          <w:sz w:val="20"/>
        </w:rPr>
        <w:t>Taxation</w:t>
      </w:r>
      <w:r w:rsidR="007233FD" w:rsidRPr="007344A4">
        <w:rPr>
          <w:b/>
          <w:sz w:val="20"/>
        </w:rPr>
        <w:tab/>
      </w:r>
    </w:p>
    <w:tbl>
      <w:tblPr>
        <w:tblW w:w="8730" w:type="dxa"/>
        <w:tblInd w:w="828" w:type="dxa"/>
        <w:tblLayout w:type="fixed"/>
        <w:tblLook w:val="0000"/>
      </w:tblPr>
      <w:tblGrid>
        <w:gridCol w:w="2700"/>
        <w:gridCol w:w="1170"/>
        <w:gridCol w:w="1890"/>
        <w:gridCol w:w="1170"/>
        <w:gridCol w:w="1800"/>
      </w:tblGrid>
      <w:tr w:rsidR="007233FD" w:rsidRPr="007344A4">
        <w:trPr>
          <w:cantSplit/>
        </w:trPr>
        <w:tc>
          <w:tcPr>
            <w:tcW w:w="2700" w:type="dxa"/>
          </w:tcPr>
          <w:p w:rsidR="007233FD" w:rsidRPr="007344A4" w:rsidRDefault="007233FD"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7233FD" w:rsidRPr="007344A4" w:rsidRDefault="007233FD" w:rsidP="006B460C">
            <w:pPr>
              <w:pStyle w:val="BodyText"/>
              <w:tabs>
                <w:tab w:val="left" w:pos="360"/>
                <w:tab w:val="left" w:pos="540"/>
                <w:tab w:val="left" w:pos="630"/>
                <w:tab w:val="left" w:pos="1080"/>
              </w:tabs>
              <w:ind w:right="-450" w:hanging="108"/>
              <w:jc w:val="center"/>
              <w:rPr>
                <w:b/>
                <w:sz w:val="18"/>
              </w:rPr>
            </w:pPr>
            <w:r w:rsidRPr="007344A4">
              <w:rPr>
                <w:b/>
                <w:sz w:val="18"/>
              </w:rPr>
              <w:t>INDIVIDUAL QUARTER</w:t>
            </w:r>
          </w:p>
        </w:tc>
        <w:tc>
          <w:tcPr>
            <w:tcW w:w="2970" w:type="dxa"/>
            <w:gridSpan w:val="2"/>
            <w:tcBorders>
              <w:top w:val="single" w:sz="4" w:space="0" w:color="auto"/>
              <w:left w:val="nil"/>
              <w:right w:val="single" w:sz="4" w:space="0" w:color="auto"/>
            </w:tcBorders>
          </w:tcPr>
          <w:p w:rsidR="007233FD" w:rsidRPr="007344A4" w:rsidRDefault="007233FD" w:rsidP="006B460C">
            <w:pPr>
              <w:pStyle w:val="BodyText"/>
              <w:ind w:right="-450" w:hanging="108"/>
              <w:jc w:val="center"/>
              <w:rPr>
                <w:b/>
                <w:sz w:val="18"/>
              </w:rPr>
            </w:pPr>
            <w:r w:rsidRPr="007344A4">
              <w:rPr>
                <w:b/>
                <w:sz w:val="18"/>
              </w:rPr>
              <w:t>CUMULATIVE QUARTER</w:t>
            </w:r>
          </w:p>
        </w:tc>
      </w:tr>
      <w:tr w:rsidR="007233FD" w:rsidRPr="007344A4">
        <w:tc>
          <w:tcPr>
            <w:tcW w:w="2700" w:type="dxa"/>
          </w:tcPr>
          <w:p w:rsidR="007233FD" w:rsidRPr="007344A4" w:rsidRDefault="007233FD"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CURRENT</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YEAR</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QUARTER</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3</w:t>
            </w:r>
            <w:r w:rsidR="002725CD" w:rsidRPr="007344A4">
              <w:rPr>
                <w:b/>
                <w:sz w:val="18"/>
              </w:rPr>
              <w:t>0</w:t>
            </w:r>
            <w:r w:rsidRPr="007344A4">
              <w:rPr>
                <w:b/>
                <w:sz w:val="18"/>
              </w:rPr>
              <w:t>/</w:t>
            </w:r>
            <w:r w:rsidR="002725CD" w:rsidRPr="007344A4">
              <w:rPr>
                <w:b/>
                <w:sz w:val="18"/>
              </w:rPr>
              <w:t>6</w:t>
            </w:r>
            <w:r w:rsidR="00843E4F" w:rsidRPr="007344A4">
              <w:rPr>
                <w:b/>
                <w:sz w:val="18"/>
              </w:rPr>
              <w:t>/201</w:t>
            </w:r>
            <w:r w:rsidR="00CB662A" w:rsidRPr="007344A4">
              <w:rPr>
                <w:b/>
                <w:sz w:val="18"/>
              </w:rPr>
              <w:t>2</w:t>
            </w:r>
          </w:p>
          <w:p w:rsidR="00DC3F34" w:rsidRPr="007344A4" w:rsidRDefault="00DC3F34" w:rsidP="006B460C">
            <w:pPr>
              <w:pStyle w:val="BodyText"/>
              <w:tabs>
                <w:tab w:val="left" w:pos="360"/>
                <w:tab w:val="left" w:pos="540"/>
                <w:tab w:val="left" w:pos="630"/>
                <w:tab w:val="left" w:pos="1080"/>
              </w:tabs>
              <w:ind w:right="-108" w:hanging="108"/>
              <w:jc w:val="center"/>
              <w:rPr>
                <w:b/>
                <w:sz w:val="18"/>
              </w:rPr>
            </w:pPr>
            <w:r w:rsidRPr="007344A4">
              <w:rPr>
                <w:b/>
                <w:sz w:val="18"/>
              </w:rPr>
              <w:t>RM’000</w:t>
            </w:r>
          </w:p>
        </w:tc>
        <w:tc>
          <w:tcPr>
            <w:tcW w:w="1890" w:type="dxa"/>
            <w:tcBorders>
              <w:top w:val="single" w:sz="4" w:space="0" w:color="auto"/>
              <w:left w:val="nil"/>
              <w:bottom w:val="single" w:sz="4" w:space="0" w:color="auto"/>
              <w:right w:val="single" w:sz="4" w:space="0" w:color="auto"/>
            </w:tcBorders>
          </w:tcPr>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PRECEDING YEAR</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CORRESPONDING</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QUARTER</w:t>
            </w:r>
          </w:p>
          <w:p w:rsidR="007233FD" w:rsidRPr="007344A4" w:rsidRDefault="00353A85" w:rsidP="006B460C">
            <w:pPr>
              <w:pStyle w:val="BodyText"/>
              <w:tabs>
                <w:tab w:val="left" w:pos="360"/>
                <w:tab w:val="left" w:pos="540"/>
                <w:tab w:val="left" w:pos="630"/>
                <w:tab w:val="left" w:pos="1080"/>
              </w:tabs>
              <w:ind w:right="-108" w:hanging="108"/>
              <w:jc w:val="center"/>
              <w:rPr>
                <w:b/>
                <w:sz w:val="18"/>
              </w:rPr>
            </w:pPr>
            <w:r w:rsidRPr="007344A4">
              <w:rPr>
                <w:b/>
                <w:sz w:val="18"/>
              </w:rPr>
              <w:t>3</w:t>
            </w:r>
            <w:r w:rsidR="002725CD" w:rsidRPr="007344A4">
              <w:rPr>
                <w:b/>
                <w:sz w:val="18"/>
              </w:rPr>
              <w:t>0</w:t>
            </w:r>
            <w:r w:rsidRPr="007344A4">
              <w:rPr>
                <w:b/>
                <w:sz w:val="18"/>
              </w:rPr>
              <w:t>/</w:t>
            </w:r>
            <w:r w:rsidR="002725CD" w:rsidRPr="007344A4">
              <w:rPr>
                <w:b/>
                <w:sz w:val="18"/>
              </w:rPr>
              <w:t>6</w:t>
            </w:r>
            <w:r w:rsidR="00843E4F" w:rsidRPr="007344A4">
              <w:rPr>
                <w:b/>
                <w:sz w:val="18"/>
              </w:rPr>
              <w:t>/20</w:t>
            </w:r>
            <w:r w:rsidR="00212EE0" w:rsidRPr="007344A4">
              <w:rPr>
                <w:b/>
                <w:sz w:val="18"/>
              </w:rPr>
              <w:t>1</w:t>
            </w:r>
            <w:r w:rsidR="00CB662A" w:rsidRPr="007344A4">
              <w:rPr>
                <w:b/>
                <w:sz w:val="18"/>
              </w:rPr>
              <w:t>1</w:t>
            </w:r>
          </w:p>
          <w:p w:rsidR="00DC3F34" w:rsidRPr="007344A4" w:rsidRDefault="00DC3F34" w:rsidP="006B460C">
            <w:pPr>
              <w:pStyle w:val="BodyText"/>
              <w:tabs>
                <w:tab w:val="left" w:pos="360"/>
                <w:tab w:val="left" w:pos="540"/>
                <w:tab w:val="left" w:pos="630"/>
                <w:tab w:val="left" w:pos="1080"/>
              </w:tabs>
              <w:ind w:right="-108" w:hanging="108"/>
              <w:jc w:val="center"/>
              <w:rPr>
                <w:b/>
                <w:sz w:val="18"/>
              </w:rPr>
            </w:pPr>
            <w:r w:rsidRPr="007344A4">
              <w:rPr>
                <w:b/>
                <w:sz w:val="18"/>
              </w:rPr>
              <w:t>RM’000</w:t>
            </w:r>
          </w:p>
        </w:tc>
        <w:tc>
          <w:tcPr>
            <w:tcW w:w="1170" w:type="dxa"/>
            <w:tcBorders>
              <w:top w:val="single" w:sz="4" w:space="0" w:color="auto"/>
              <w:left w:val="nil"/>
              <w:bottom w:val="single" w:sz="4" w:space="0" w:color="auto"/>
              <w:right w:val="single" w:sz="4" w:space="0" w:color="auto"/>
            </w:tcBorders>
          </w:tcPr>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CURRENT</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YEAR TO DATE</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3</w:t>
            </w:r>
            <w:r w:rsidR="002725CD" w:rsidRPr="007344A4">
              <w:rPr>
                <w:b/>
                <w:sz w:val="18"/>
              </w:rPr>
              <w:t>0</w:t>
            </w:r>
            <w:r w:rsidRPr="007344A4">
              <w:rPr>
                <w:b/>
                <w:sz w:val="18"/>
              </w:rPr>
              <w:t>/</w:t>
            </w:r>
            <w:r w:rsidR="002725CD" w:rsidRPr="007344A4">
              <w:rPr>
                <w:b/>
                <w:sz w:val="18"/>
              </w:rPr>
              <w:t>6</w:t>
            </w:r>
            <w:r w:rsidR="00843E4F" w:rsidRPr="007344A4">
              <w:rPr>
                <w:b/>
                <w:sz w:val="18"/>
              </w:rPr>
              <w:t>/201</w:t>
            </w:r>
            <w:r w:rsidR="00CB662A" w:rsidRPr="007344A4">
              <w:rPr>
                <w:b/>
                <w:sz w:val="18"/>
              </w:rPr>
              <w:t>2</w:t>
            </w:r>
          </w:p>
          <w:p w:rsidR="00DC3F34" w:rsidRPr="007344A4" w:rsidRDefault="00DC3F34" w:rsidP="006B460C">
            <w:pPr>
              <w:pStyle w:val="BodyText"/>
              <w:tabs>
                <w:tab w:val="left" w:pos="360"/>
                <w:tab w:val="left" w:pos="540"/>
                <w:tab w:val="left" w:pos="630"/>
                <w:tab w:val="left" w:pos="1080"/>
              </w:tabs>
              <w:ind w:right="-108" w:hanging="108"/>
              <w:jc w:val="center"/>
              <w:rPr>
                <w:b/>
                <w:sz w:val="18"/>
              </w:rPr>
            </w:pPr>
            <w:r w:rsidRPr="007344A4">
              <w:rPr>
                <w:b/>
                <w:sz w:val="18"/>
              </w:rPr>
              <w:t>RM’000</w:t>
            </w:r>
          </w:p>
        </w:tc>
        <w:tc>
          <w:tcPr>
            <w:tcW w:w="1800" w:type="dxa"/>
            <w:tcBorders>
              <w:top w:val="single" w:sz="4" w:space="0" w:color="auto"/>
              <w:left w:val="nil"/>
              <w:bottom w:val="single" w:sz="4" w:space="0" w:color="auto"/>
              <w:right w:val="single" w:sz="4" w:space="0" w:color="auto"/>
            </w:tcBorders>
          </w:tcPr>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PRECEDING YEAR</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CORRESPONDING</w:t>
            </w:r>
          </w:p>
          <w:p w:rsidR="007233FD" w:rsidRPr="007344A4" w:rsidRDefault="007233FD" w:rsidP="006B460C">
            <w:pPr>
              <w:pStyle w:val="BodyText"/>
              <w:tabs>
                <w:tab w:val="left" w:pos="360"/>
                <w:tab w:val="left" w:pos="540"/>
                <w:tab w:val="left" w:pos="630"/>
                <w:tab w:val="left" w:pos="1080"/>
              </w:tabs>
              <w:ind w:right="-108" w:hanging="108"/>
              <w:jc w:val="center"/>
              <w:rPr>
                <w:b/>
                <w:sz w:val="18"/>
              </w:rPr>
            </w:pPr>
            <w:r w:rsidRPr="007344A4">
              <w:rPr>
                <w:b/>
                <w:sz w:val="18"/>
              </w:rPr>
              <w:t>PERIOD</w:t>
            </w:r>
          </w:p>
          <w:p w:rsidR="007233FD" w:rsidRPr="007344A4" w:rsidRDefault="00666B66" w:rsidP="006B460C">
            <w:pPr>
              <w:pStyle w:val="BodyText"/>
              <w:tabs>
                <w:tab w:val="left" w:pos="360"/>
                <w:tab w:val="left" w:pos="540"/>
                <w:tab w:val="left" w:pos="702"/>
                <w:tab w:val="left" w:pos="1080"/>
              </w:tabs>
              <w:ind w:right="-108" w:hanging="108"/>
              <w:jc w:val="center"/>
              <w:rPr>
                <w:b/>
                <w:sz w:val="18"/>
              </w:rPr>
            </w:pPr>
            <w:r w:rsidRPr="007344A4">
              <w:rPr>
                <w:b/>
                <w:sz w:val="18"/>
              </w:rPr>
              <w:t>3</w:t>
            </w:r>
            <w:r w:rsidR="002725CD" w:rsidRPr="007344A4">
              <w:rPr>
                <w:b/>
                <w:sz w:val="18"/>
              </w:rPr>
              <w:t>0</w:t>
            </w:r>
            <w:r w:rsidR="00353A85" w:rsidRPr="007344A4">
              <w:rPr>
                <w:b/>
                <w:sz w:val="18"/>
              </w:rPr>
              <w:t>/</w:t>
            </w:r>
            <w:r w:rsidR="002725CD" w:rsidRPr="007344A4">
              <w:rPr>
                <w:b/>
                <w:sz w:val="18"/>
              </w:rPr>
              <w:t>6</w:t>
            </w:r>
            <w:r w:rsidR="00843E4F" w:rsidRPr="007344A4">
              <w:rPr>
                <w:b/>
                <w:sz w:val="18"/>
              </w:rPr>
              <w:t>/20</w:t>
            </w:r>
            <w:r w:rsidR="00CB662A" w:rsidRPr="007344A4">
              <w:rPr>
                <w:b/>
                <w:sz w:val="18"/>
              </w:rPr>
              <w:t>11</w:t>
            </w:r>
          </w:p>
          <w:p w:rsidR="00DC3F34" w:rsidRPr="007344A4" w:rsidRDefault="00DC3F34" w:rsidP="006B460C">
            <w:pPr>
              <w:pStyle w:val="BodyText"/>
              <w:tabs>
                <w:tab w:val="left" w:pos="360"/>
                <w:tab w:val="left" w:pos="540"/>
                <w:tab w:val="left" w:pos="702"/>
                <w:tab w:val="left" w:pos="1080"/>
              </w:tabs>
              <w:ind w:right="-108" w:hanging="108"/>
              <w:jc w:val="center"/>
              <w:rPr>
                <w:b/>
                <w:sz w:val="18"/>
              </w:rPr>
            </w:pPr>
            <w:r w:rsidRPr="007344A4">
              <w:rPr>
                <w:b/>
                <w:sz w:val="18"/>
              </w:rPr>
              <w:t>RM’000</w:t>
            </w:r>
          </w:p>
        </w:tc>
      </w:tr>
      <w:tr w:rsidR="00842A0B" w:rsidRPr="007344A4">
        <w:tc>
          <w:tcPr>
            <w:tcW w:w="2700" w:type="dxa"/>
            <w:tcBorders>
              <w:right w:val="single" w:sz="4" w:space="0" w:color="auto"/>
            </w:tcBorders>
          </w:tcPr>
          <w:p w:rsidR="00842A0B" w:rsidRPr="007344A4" w:rsidRDefault="00842A0B" w:rsidP="00843E4F">
            <w:pPr>
              <w:pStyle w:val="BodyText"/>
              <w:ind w:left="-108" w:right="-450"/>
              <w:jc w:val="left"/>
              <w:rPr>
                <w:sz w:val="20"/>
              </w:rPr>
            </w:pPr>
            <w:r w:rsidRPr="007344A4">
              <w:rPr>
                <w:sz w:val="20"/>
              </w:rPr>
              <w:t>Current income tax</w:t>
            </w:r>
          </w:p>
        </w:tc>
        <w:tc>
          <w:tcPr>
            <w:tcW w:w="1170" w:type="dxa"/>
            <w:tcBorders>
              <w:top w:val="single" w:sz="4" w:space="0" w:color="auto"/>
              <w:left w:val="single" w:sz="4" w:space="0" w:color="auto"/>
              <w:right w:val="single" w:sz="4" w:space="0" w:color="auto"/>
            </w:tcBorders>
          </w:tcPr>
          <w:p w:rsidR="00842A0B" w:rsidRPr="007344A4" w:rsidRDefault="00842A0B" w:rsidP="00491580">
            <w:pPr>
              <w:pStyle w:val="BodyText"/>
              <w:ind w:right="-450" w:hanging="1800"/>
              <w:jc w:val="center"/>
              <w:rPr>
                <w:b/>
                <w:sz w:val="20"/>
              </w:rPr>
            </w:pPr>
          </w:p>
        </w:tc>
        <w:tc>
          <w:tcPr>
            <w:tcW w:w="1890" w:type="dxa"/>
            <w:tcBorders>
              <w:top w:val="single" w:sz="4" w:space="0" w:color="auto"/>
              <w:left w:val="single" w:sz="4" w:space="0" w:color="auto"/>
              <w:right w:val="single" w:sz="4" w:space="0" w:color="auto"/>
            </w:tcBorders>
          </w:tcPr>
          <w:p w:rsidR="00842A0B" w:rsidRPr="007344A4" w:rsidRDefault="00842A0B" w:rsidP="00A43C0D">
            <w:pPr>
              <w:pStyle w:val="BodyText"/>
              <w:ind w:right="-450" w:hanging="1800"/>
              <w:jc w:val="center"/>
              <w:rPr>
                <w:b/>
                <w:sz w:val="20"/>
              </w:rPr>
            </w:pPr>
          </w:p>
        </w:tc>
        <w:tc>
          <w:tcPr>
            <w:tcW w:w="1170" w:type="dxa"/>
            <w:tcBorders>
              <w:top w:val="single" w:sz="4" w:space="0" w:color="auto"/>
              <w:left w:val="single" w:sz="4" w:space="0" w:color="auto"/>
              <w:right w:val="single" w:sz="4" w:space="0" w:color="auto"/>
            </w:tcBorders>
          </w:tcPr>
          <w:p w:rsidR="00842A0B" w:rsidRPr="007344A4" w:rsidRDefault="00842A0B" w:rsidP="00BA5378">
            <w:pPr>
              <w:pStyle w:val="BodyText"/>
              <w:ind w:right="-450" w:hanging="1800"/>
              <w:jc w:val="center"/>
              <w:rPr>
                <w:b/>
                <w:sz w:val="20"/>
              </w:rPr>
            </w:pPr>
          </w:p>
        </w:tc>
        <w:tc>
          <w:tcPr>
            <w:tcW w:w="1800" w:type="dxa"/>
            <w:tcBorders>
              <w:top w:val="single" w:sz="4" w:space="0" w:color="auto"/>
              <w:left w:val="single" w:sz="4" w:space="0" w:color="auto"/>
              <w:right w:val="single" w:sz="4" w:space="0" w:color="auto"/>
            </w:tcBorders>
          </w:tcPr>
          <w:p w:rsidR="00842A0B" w:rsidRPr="007344A4" w:rsidRDefault="00842A0B" w:rsidP="00A43C0D">
            <w:pPr>
              <w:pStyle w:val="BodyText"/>
              <w:ind w:right="-450" w:hanging="1800"/>
              <w:jc w:val="center"/>
              <w:rPr>
                <w:b/>
                <w:sz w:val="20"/>
              </w:rPr>
            </w:pPr>
          </w:p>
        </w:tc>
      </w:tr>
      <w:tr w:rsidR="00842A0B" w:rsidRPr="00222E05" w:rsidTr="00C3747A">
        <w:tc>
          <w:tcPr>
            <w:tcW w:w="2700" w:type="dxa"/>
            <w:tcBorders>
              <w:right w:val="single" w:sz="4" w:space="0" w:color="auto"/>
            </w:tcBorders>
            <w:shd w:val="clear" w:color="auto" w:fill="auto"/>
          </w:tcPr>
          <w:p w:rsidR="00842A0B" w:rsidRPr="007344A4" w:rsidRDefault="00842A0B" w:rsidP="009F3412">
            <w:pPr>
              <w:pStyle w:val="BodyText"/>
              <w:tabs>
                <w:tab w:val="left" w:pos="720"/>
              </w:tabs>
              <w:ind w:right="-450"/>
              <w:rPr>
                <w:sz w:val="20"/>
              </w:rPr>
            </w:pPr>
            <w:r w:rsidRPr="007344A4">
              <w:rPr>
                <w:sz w:val="20"/>
              </w:rPr>
              <w:t xml:space="preserve">- Malaysian </w:t>
            </w:r>
          </w:p>
        </w:tc>
        <w:tc>
          <w:tcPr>
            <w:tcW w:w="1170" w:type="dxa"/>
            <w:tcBorders>
              <w:left w:val="single" w:sz="4" w:space="0" w:color="auto"/>
              <w:right w:val="single" w:sz="4" w:space="0" w:color="auto"/>
            </w:tcBorders>
            <w:shd w:val="clear" w:color="auto" w:fill="auto"/>
          </w:tcPr>
          <w:p w:rsidR="00842A0B" w:rsidRPr="007344A4" w:rsidRDefault="00EF4D4A" w:rsidP="000F2A59">
            <w:pPr>
              <w:pStyle w:val="BodyText"/>
              <w:tabs>
                <w:tab w:val="left" w:pos="720"/>
              </w:tabs>
              <w:ind w:right="-108" w:hanging="108"/>
              <w:jc w:val="center"/>
              <w:rPr>
                <w:b/>
                <w:sz w:val="20"/>
              </w:rPr>
            </w:pPr>
            <w:r w:rsidRPr="007344A4">
              <w:rPr>
                <w:b/>
                <w:sz w:val="20"/>
              </w:rPr>
              <w:t>4,779</w:t>
            </w:r>
          </w:p>
        </w:tc>
        <w:tc>
          <w:tcPr>
            <w:tcW w:w="1890" w:type="dxa"/>
            <w:tcBorders>
              <w:left w:val="single" w:sz="4" w:space="0" w:color="auto"/>
              <w:right w:val="single" w:sz="4" w:space="0" w:color="auto"/>
            </w:tcBorders>
            <w:shd w:val="clear" w:color="auto" w:fill="auto"/>
          </w:tcPr>
          <w:p w:rsidR="00842A0B" w:rsidRPr="007344A4" w:rsidRDefault="00842A0B" w:rsidP="002725CD">
            <w:pPr>
              <w:pStyle w:val="BodyText"/>
              <w:tabs>
                <w:tab w:val="left" w:pos="720"/>
              </w:tabs>
              <w:ind w:right="-108" w:hanging="108"/>
              <w:jc w:val="center"/>
              <w:rPr>
                <w:sz w:val="20"/>
              </w:rPr>
            </w:pPr>
            <w:r w:rsidRPr="007344A4">
              <w:rPr>
                <w:sz w:val="20"/>
              </w:rPr>
              <w:t>3,</w:t>
            </w:r>
            <w:r w:rsidR="002725CD" w:rsidRPr="007344A4">
              <w:rPr>
                <w:sz w:val="20"/>
              </w:rPr>
              <w:t>187</w:t>
            </w:r>
          </w:p>
        </w:tc>
        <w:tc>
          <w:tcPr>
            <w:tcW w:w="1170" w:type="dxa"/>
            <w:tcBorders>
              <w:left w:val="single" w:sz="4" w:space="0" w:color="auto"/>
              <w:right w:val="single" w:sz="4" w:space="0" w:color="auto"/>
            </w:tcBorders>
            <w:shd w:val="clear" w:color="auto" w:fill="auto"/>
          </w:tcPr>
          <w:p w:rsidR="00842A0B" w:rsidRPr="007344A4" w:rsidRDefault="00EF4D4A" w:rsidP="00BA5378">
            <w:pPr>
              <w:pStyle w:val="BodyText"/>
              <w:tabs>
                <w:tab w:val="left" w:pos="720"/>
              </w:tabs>
              <w:ind w:right="-108" w:hanging="108"/>
              <w:jc w:val="center"/>
              <w:rPr>
                <w:b/>
                <w:sz w:val="20"/>
              </w:rPr>
            </w:pPr>
            <w:r w:rsidRPr="007344A4">
              <w:rPr>
                <w:b/>
                <w:sz w:val="20"/>
              </w:rPr>
              <w:t>8,150</w:t>
            </w:r>
          </w:p>
        </w:tc>
        <w:tc>
          <w:tcPr>
            <w:tcW w:w="1800" w:type="dxa"/>
            <w:tcBorders>
              <w:left w:val="single" w:sz="4" w:space="0" w:color="auto"/>
              <w:right w:val="single" w:sz="4" w:space="0" w:color="auto"/>
            </w:tcBorders>
            <w:shd w:val="clear" w:color="auto" w:fill="auto"/>
          </w:tcPr>
          <w:p w:rsidR="00842A0B" w:rsidRPr="00753209" w:rsidRDefault="002725CD" w:rsidP="00A43C0D">
            <w:pPr>
              <w:pStyle w:val="BodyText"/>
              <w:tabs>
                <w:tab w:val="left" w:pos="720"/>
              </w:tabs>
              <w:ind w:right="-108" w:hanging="108"/>
              <w:jc w:val="center"/>
              <w:rPr>
                <w:sz w:val="20"/>
              </w:rPr>
            </w:pPr>
            <w:r w:rsidRPr="007344A4">
              <w:rPr>
                <w:sz w:val="20"/>
              </w:rPr>
              <w:t xml:space="preserve"> 6,413</w:t>
            </w:r>
          </w:p>
        </w:tc>
      </w:tr>
      <w:tr w:rsidR="00842A0B" w:rsidRPr="00222E05" w:rsidTr="00C3747A">
        <w:tc>
          <w:tcPr>
            <w:tcW w:w="2700" w:type="dxa"/>
            <w:tcBorders>
              <w:right w:val="single" w:sz="4" w:space="0" w:color="auto"/>
            </w:tcBorders>
            <w:shd w:val="clear" w:color="auto" w:fill="auto"/>
          </w:tcPr>
          <w:p w:rsidR="00842A0B" w:rsidRPr="00222E05" w:rsidRDefault="00842A0B" w:rsidP="006B460C">
            <w:pPr>
              <w:pStyle w:val="BodyText"/>
              <w:ind w:right="-450"/>
              <w:rPr>
                <w:sz w:val="20"/>
              </w:rPr>
            </w:pPr>
            <w:r>
              <w:rPr>
                <w:sz w:val="20"/>
              </w:rPr>
              <w:t xml:space="preserve">- Foreign </w:t>
            </w:r>
          </w:p>
        </w:tc>
        <w:tc>
          <w:tcPr>
            <w:tcW w:w="1170" w:type="dxa"/>
            <w:tcBorders>
              <w:left w:val="single" w:sz="4" w:space="0" w:color="auto"/>
              <w:right w:val="single" w:sz="4" w:space="0" w:color="auto"/>
            </w:tcBorders>
            <w:shd w:val="clear" w:color="auto" w:fill="auto"/>
          </w:tcPr>
          <w:p w:rsidR="00842A0B" w:rsidRPr="00EF4D4A" w:rsidRDefault="00EF4D4A" w:rsidP="00D1768D">
            <w:pPr>
              <w:pStyle w:val="BodyText"/>
              <w:tabs>
                <w:tab w:val="left" w:pos="700"/>
              </w:tabs>
              <w:ind w:right="-108" w:hanging="108"/>
              <w:jc w:val="center"/>
              <w:rPr>
                <w:b/>
                <w:sz w:val="20"/>
              </w:rPr>
            </w:pPr>
            <w:r w:rsidRPr="00EF4D4A">
              <w:rPr>
                <w:b/>
                <w:sz w:val="20"/>
              </w:rPr>
              <w:t>9,655</w:t>
            </w:r>
          </w:p>
        </w:tc>
        <w:tc>
          <w:tcPr>
            <w:tcW w:w="1890" w:type="dxa"/>
            <w:tcBorders>
              <w:left w:val="single" w:sz="4" w:space="0" w:color="auto"/>
              <w:right w:val="single" w:sz="4" w:space="0" w:color="auto"/>
            </w:tcBorders>
            <w:shd w:val="clear" w:color="auto" w:fill="auto"/>
          </w:tcPr>
          <w:p w:rsidR="00842A0B" w:rsidRPr="00EF4D4A" w:rsidRDefault="002725CD" w:rsidP="00A43C0D">
            <w:pPr>
              <w:pStyle w:val="BodyText"/>
              <w:tabs>
                <w:tab w:val="left" w:pos="700"/>
              </w:tabs>
              <w:ind w:right="-108" w:hanging="108"/>
              <w:jc w:val="center"/>
              <w:rPr>
                <w:sz w:val="20"/>
              </w:rPr>
            </w:pPr>
            <w:r w:rsidRPr="00EF4D4A">
              <w:rPr>
                <w:sz w:val="20"/>
              </w:rPr>
              <w:t>3,160</w:t>
            </w:r>
          </w:p>
        </w:tc>
        <w:tc>
          <w:tcPr>
            <w:tcW w:w="1170" w:type="dxa"/>
            <w:tcBorders>
              <w:left w:val="single" w:sz="4" w:space="0" w:color="auto"/>
              <w:right w:val="single" w:sz="4" w:space="0" w:color="auto"/>
            </w:tcBorders>
            <w:shd w:val="clear" w:color="auto" w:fill="auto"/>
          </w:tcPr>
          <w:p w:rsidR="00842A0B" w:rsidRPr="00EF4D4A" w:rsidRDefault="00EF4D4A" w:rsidP="00EF4D4A">
            <w:pPr>
              <w:pStyle w:val="BodyText"/>
              <w:tabs>
                <w:tab w:val="left" w:pos="700"/>
              </w:tabs>
              <w:ind w:right="-108" w:hanging="108"/>
              <w:rPr>
                <w:b/>
                <w:sz w:val="20"/>
              </w:rPr>
            </w:pPr>
            <w:r w:rsidRPr="00EF4D4A">
              <w:rPr>
                <w:b/>
                <w:sz w:val="20"/>
              </w:rPr>
              <w:t xml:space="preserve">     17,272</w:t>
            </w:r>
          </w:p>
        </w:tc>
        <w:tc>
          <w:tcPr>
            <w:tcW w:w="1800" w:type="dxa"/>
            <w:tcBorders>
              <w:left w:val="single" w:sz="4" w:space="0" w:color="auto"/>
              <w:right w:val="single" w:sz="4" w:space="0" w:color="auto"/>
            </w:tcBorders>
            <w:shd w:val="clear" w:color="auto" w:fill="auto"/>
          </w:tcPr>
          <w:p w:rsidR="00842A0B" w:rsidRPr="00753209" w:rsidRDefault="002725CD" w:rsidP="002725CD">
            <w:pPr>
              <w:pStyle w:val="BodyText"/>
              <w:tabs>
                <w:tab w:val="left" w:pos="700"/>
              </w:tabs>
              <w:ind w:right="-108" w:hanging="108"/>
              <w:rPr>
                <w:sz w:val="20"/>
              </w:rPr>
            </w:pPr>
            <w:r>
              <w:rPr>
                <w:sz w:val="20"/>
              </w:rPr>
              <w:t xml:space="preserve">           10,884</w:t>
            </w:r>
          </w:p>
        </w:tc>
      </w:tr>
      <w:tr w:rsidR="002725CD" w:rsidRPr="00222E05" w:rsidTr="00C3747A">
        <w:tc>
          <w:tcPr>
            <w:tcW w:w="2700" w:type="dxa"/>
            <w:tcBorders>
              <w:right w:val="single" w:sz="4" w:space="0" w:color="auto"/>
            </w:tcBorders>
            <w:shd w:val="clear" w:color="auto" w:fill="auto"/>
          </w:tcPr>
          <w:p w:rsidR="00F22956" w:rsidRDefault="002725CD" w:rsidP="00F22956">
            <w:pPr>
              <w:pStyle w:val="BodyText"/>
              <w:ind w:right="-450"/>
              <w:jc w:val="left"/>
              <w:rPr>
                <w:sz w:val="20"/>
              </w:rPr>
            </w:pPr>
            <w:r>
              <w:rPr>
                <w:sz w:val="20"/>
              </w:rPr>
              <w:t xml:space="preserve">- </w:t>
            </w:r>
            <w:r w:rsidR="00F22956">
              <w:rPr>
                <w:sz w:val="20"/>
              </w:rPr>
              <w:t>(Over)/</w:t>
            </w:r>
            <w:r>
              <w:rPr>
                <w:sz w:val="20"/>
              </w:rPr>
              <w:t>Under provision in</w:t>
            </w:r>
          </w:p>
          <w:p w:rsidR="002725CD" w:rsidRPr="00222E05" w:rsidRDefault="00F22956" w:rsidP="00F22956">
            <w:pPr>
              <w:pStyle w:val="BodyText"/>
              <w:ind w:right="-450"/>
              <w:jc w:val="left"/>
              <w:rPr>
                <w:sz w:val="20"/>
              </w:rPr>
            </w:pPr>
            <w:r>
              <w:rPr>
                <w:sz w:val="20"/>
              </w:rPr>
              <w:t xml:space="preserve">  </w:t>
            </w:r>
            <w:r w:rsidR="002725CD">
              <w:rPr>
                <w:sz w:val="20"/>
              </w:rPr>
              <w:t xml:space="preserve"> prior year </w:t>
            </w:r>
          </w:p>
        </w:tc>
        <w:tc>
          <w:tcPr>
            <w:tcW w:w="1170" w:type="dxa"/>
            <w:tcBorders>
              <w:left w:val="single" w:sz="4" w:space="0" w:color="auto"/>
              <w:right w:val="single" w:sz="4" w:space="0" w:color="auto"/>
            </w:tcBorders>
            <w:shd w:val="clear" w:color="auto" w:fill="auto"/>
          </w:tcPr>
          <w:p w:rsidR="00F22956" w:rsidRDefault="00EF4D4A" w:rsidP="00D1768D">
            <w:pPr>
              <w:pStyle w:val="BodyText"/>
              <w:tabs>
                <w:tab w:val="left" w:pos="700"/>
              </w:tabs>
              <w:ind w:right="-108" w:hanging="108"/>
              <w:jc w:val="center"/>
              <w:rPr>
                <w:b/>
                <w:sz w:val="20"/>
              </w:rPr>
            </w:pPr>
            <w:r w:rsidRPr="00EF4D4A">
              <w:rPr>
                <w:b/>
                <w:sz w:val="20"/>
              </w:rPr>
              <w:t xml:space="preserve">  </w:t>
            </w:r>
          </w:p>
          <w:p w:rsidR="002725CD" w:rsidRPr="00EF4D4A" w:rsidRDefault="00F22956" w:rsidP="00D1768D">
            <w:pPr>
              <w:pStyle w:val="BodyText"/>
              <w:tabs>
                <w:tab w:val="left" w:pos="700"/>
              </w:tabs>
              <w:ind w:right="-108" w:hanging="108"/>
              <w:jc w:val="center"/>
              <w:rPr>
                <w:b/>
                <w:sz w:val="20"/>
              </w:rPr>
            </w:pPr>
            <w:r>
              <w:rPr>
                <w:b/>
                <w:sz w:val="20"/>
              </w:rPr>
              <w:t xml:space="preserve">   </w:t>
            </w:r>
            <w:r w:rsidR="00EF4D4A" w:rsidRPr="00EF4D4A">
              <w:rPr>
                <w:b/>
                <w:sz w:val="20"/>
              </w:rPr>
              <w:t>(104)</w:t>
            </w:r>
          </w:p>
        </w:tc>
        <w:tc>
          <w:tcPr>
            <w:tcW w:w="1890" w:type="dxa"/>
            <w:tcBorders>
              <w:left w:val="single" w:sz="4" w:space="0" w:color="auto"/>
              <w:right w:val="single" w:sz="4" w:space="0" w:color="auto"/>
            </w:tcBorders>
            <w:shd w:val="clear" w:color="auto" w:fill="auto"/>
          </w:tcPr>
          <w:p w:rsidR="00F22956" w:rsidRDefault="002725CD" w:rsidP="002725CD">
            <w:pPr>
              <w:pStyle w:val="BodyText"/>
              <w:tabs>
                <w:tab w:val="left" w:pos="700"/>
              </w:tabs>
              <w:ind w:right="-108" w:hanging="108"/>
              <w:jc w:val="center"/>
              <w:rPr>
                <w:sz w:val="20"/>
              </w:rPr>
            </w:pPr>
            <w:r w:rsidRPr="00EF4D4A">
              <w:rPr>
                <w:sz w:val="20"/>
              </w:rPr>
              <w:t xml:space="preserve"> </w:t>
            </w:r>
          </w:p>
          <w:p w:rsidR="002725CD" w:rsidRPr="00EF4D4A" w:rsidRDefault="00F22956" w:rsidP="00F22956">
            <w:pPr>
              <w:pStyle w:val="BodyText"/>
              <w:tabs>
                <w:tab w:val="left" w:pos="700"/>
              </w:tabs>
              <w:ind w:right="-108" w:hanging="108"/>
              <w:jc w:val="center"/>
              <w:rPr>
                <w:sz w:val="20"/>
              </w:rPr>
            </w:pPr>
            <w:r>
              <w:rPr>
                <w:sz w:val="20"/>
              </w:rPr>
              <w:t xml:space="preserve">  </w:t>
            </w:r>
            <w:r w:rsidR="002725CD" w:rsidRPr="00EF4D4A">
              <w:rPr>
                <w:sz w:val="20"/>
              </w:rPr>
              <w:t xml:space="preserve"> 111</w:t>
            </w:r>
          </w:p>
        </w:tc>
        <w:tc>
          <w:tcPr>
            <w:tcW w:w="1170" w:type="dxa"/>
            <w:tcBorders>
              <w:left w:val="single" w:sz="4" w:space="0" w:color="auto"/>
              <w:right w:val="single" w:sz="4" w:space="0" w:color="auto"/>
            </w:tcBorders>
            <w:shd w:val="clear" w:color="auto" w:fill="auto"/>
          </w:tcPr>
          <w:p w:rsidR="00F22956" w:rsidRDefault="00EF4D4A" w:rsidP="00BA5378">
            <w:pPr>
              <w:pStyle w:val="BodyText"/>
              <w:tabs>
                <w:tab w:val="left" w:pos="700"/>
              </w:tabs>
              <w:ind w:right="-108" w:hanging="108"/>
              <w:jc w:val="center"/>
              <w:rPr>
                <w:b/>
                <w:sz w:val="20"/>
              </w:rPr>
            </w:pPr>
            <w:r w:rsidRPr="00EF4D4A">
              <w:rPr>
                <w:b/>
                <w:sz w:val="20"/>
              </w:rPr>
              <w:t xml:space="preserve"> </w:t>
            </w:r>
          </w:p>
          <w:p w:rsidR="002725CD" w:rsidRPr="00EF4D4A" w:rsidRDefault="00EF4D4A" w:rsidP="00BA5378">
            <w:pPr>
              <w:pStyle w:val="BodyText"/>
              <w:tabs>
                <w:tab w:val="left" w:pos="700"/>
              </w:tabs>
              <w:ind w:right="-108" w:hanging="108"/>
              <w:jc w:val="center"/>
              <w:rPr>
                <w:b/>
                <w:sz w:val="20"/>
              </w:rPr>
            </w:pPr>
            <w:r w:rsidRPr="00EF4D4A">
              <w:rPr>
                <w:b/>
                <w:sz w:val="20"/>
              </w:rPr>
              <w:t xml:space="preserve">  (104)</w:t>
            </w:r>
          </w:p>
        </w:tc>
        <w:tc>
          <w:tcPr>
            <w:tcW w:w="1800" w:type="dxa"/>
            <w:tcBorders>
              <w:left w:val="single" w:sz="4" w:space="0" w:color="auto"/>
              <w:right w:val="single" w:sz="4" w:space="0" w:color="auto"/>
            </w:tcBorders>
            <w:shd w:val="clear" w:color="auto" w:fill="auto"/>
          </w:tcPr>
          <w:p w:rsidR="00F22956" w:rsidRDefault="002725CD" w:rsidP="00A43C0D">
            <w:pPr>
              <w:pStyle w:val="BodyText"/>
              <w:tabs>
                <w:tab w:val="left" w:pos="700"/>
              </w:tabs>
              <w:ind w:right="-108" w:hanging="108"/>
              <w:jc w:val="center"/>
              <w:rPr>
                <w:sz w:val="20"/>
              </w:rPr>
            </w:pPr>
            <w:r>
              <w:rPr>
                <w:sz w:val="20"/>
              </w:rPr>
              <w:t xml:space="preserve">   </w:t>
            </w:r>
          </w:p>
          <w:p w:rsidR="002725CD" w:rsidRPr="00753209" w:rsidRDefault="00F22956" w:rsidP="00A43C0D">
            <w:pPr>
              <w:pStyle w:val="BodyText"/>
              <w:tabs>
                <w:tab w:val="left" w:pos="700"/>
              </w:tabs>
              <w:ind w:right="-108" w:hanging="108"/>
              <w:jc w:val="center"/>
              <w:rPr>
                <w:sz w:val="20"/>
              </w:rPr>
            </w:pPr>
            <w:r>
              <w:rPr>
                <w:sz w:val="20"/>
              </w:rPr>
              <w:t xml:space="preserve">   </w:t>
            </w:r>
            <w:r w:rsidR="002725CD">
              <w:rPr>
                <w:sz w:val="20"/>
              </w:rPr>
              <w:t xml:space="preserve"> 111</w:t>
            </w:r>
          </w:p>
        </w:tc>
      </w:tr>
      <w:tr w:rsidR="002725CD" w:rsidRPr="00222E05" w:rsidTr="00C3747A">
        <w:tc>
          <w:tcPr>
            <w:tcW w:w="2700" w:type="dxa"/>
            <w:tcBorders>
              <w:right w:val="single" w:sz="4" w:space="0" w:color="auto"/>
            </w:tcBorders>
            <w:shd w:val="clear" w:color="auto" w:fill="auto"/>
          </w:tcPr>
          <w:p w:rsidR="002725CD" w:rsidRPr="00222E05" w:rsidRDefault="002725CD" w:rsidP="006B460C">
            <w:pPr>
              <w:pStyle w:val="BodyText"/>
              <w:ind w:right="-450"/>
              <w:rPr>
                <w:sz w:val="20"/>
              </w:rPr>
            </w:pPr>
          </w:p>
        </w:tc>
        <w:tc>
          <w:tcPr>
            <w:tcW w:w="1170" w:type="dxa"/>
            <w:tcBorders>
              <w:top w:val="single" w:sz="8" w:space="0" w:color="auto"/>
              <w:left w:val="single" w:sz="4" w:space="0" w:color="auto"/>
              <w:right w:val="single" w:sz="4" w:space="0" w:color="auto"/>
            </w:tcBorders>
            <w:shd w:val="clear" w:color="auto" w:fill="auto"/>
          </w:tcPr>
          <w:p w:rsidR="002725CD" w:rsidRPr="00EF4D4A" w:rsidRDefault="002725CD" w:rsidP="00EF4D4A">
            <w:pPr>
              <w:pStyle w:val="BodyText"/>
              <w:tabs>
                <w:tab w:val="left" w:pos="702"/>
              </w:tabs>
              <w:ind w:right="-108" w:hanging="108"/>
              <w:rPr>
                <w:b/>
                <w:sz w:val="20"/>
              </w:rPr>
            </w:pPr>
            <w:r w:rsidRPr="00EF4D4A">
              <w:rPr>
                <w:b/>
                <w:sz w:val="20"/>
              </w:rPr>
              <w:t xml:space="preserve">     1</w:t>
            </w:r>
            <w:r w:rsidR="00EF4D4A" w:rsidRPr="00EF4D4A">
              <w:rPr>
                <w:b/>
                <w:sz w:val="20"/>
              </w:rPr>
              <w:t>4</w:t>
            </w:r>
            <w:r w:rsidRPr="00EF4D4A">
              <w:rPr>
                <w:b/>
                <w:sz w:val="20"/>
              </w:rPr>
              <w:t>,</w:t>
            </w:r>
            <w:r w:rsidR="00EF4D4A" w:rsidRPr="00EF4D4A">
              <w:rPr>
                <w:b/>
                <w:sz w:val="20"/>
              </w:rPr>
              <w:t>330</w:t>
            </w:r>
          </w:p>
        </w:tc>
        <w:tc>
          <w:tcPr>
            <w:tcW w:w="1890" w:type="dxa"/>
            <w:tcBorders>
              <w:top w:val="single" w:sz="8" w:space="0" w:color="auto"/>
              <w:left w:val="single" w:sz="4" w:space="0" w:color="auto"/>
              <w:right w:val="single" w:sz="4" w:space="0" w:color="auto"/>
            </w:tcBorders>
            <w:shd w:val="clear" w:color="auto" w:fill="auto"/>
          </w:tcPr>
          <w:p w:rsidR="002725CD" w:rsidRPr="00EF4D4A" w:rsidRDefault="002725CD" w:rsidP="00A43C0D">
            <w:pPr>
              <w:pStyle w:val="BodyText"/>
              <w:tabs>
                <w:tab w:val="left" w:pos="702"/>
              </w:tabs>
              <w:ind w:right="-108" w:hanging="108"/>
              <w:jc w:val="center"/>
              <w:rPr>
                <w:sz w:val="20"/>
              </w:rPr>
            </w:pPr>
            <w:r w:rsidRPr="00EF4D4A">
              <w:rPr>
                <w:sz w:val="20"/>
              </w:rPr>
              <w:t xml:space="preserve"> 6,458</w:t>
            </w:r>
          </w:p>
        </w:tc>
        <w:tc>
          <w:tcPr>
            <w:tcW w:w="1170" w:type="dxa"/>
            <w:tcBorders>
              <w:top w:val="single" w:sz="8" w:space="0" w:color="auto"/>
              <w:left w:val="single" w:sz="4" w:space="0" w:color="auto"/>
              <w:right w:val="single" w:sz="4" w:space="0" w:color="auto"/>
            </w:tcBorders>
            <w:shd w:val="clear" w:color="auto" w:fill="auto"/>
          </w:tcPr>
          <w:p w:rsidR="002725CD" w:rsidRPr="00EF4D4A" w:rsidRDefault="00EF4D4A" w:rsidP="00EF4D4A">
            <w:pPr>
              <w:pStyle w:val="BodyText"/>
              <w:tabs>
                <w:tab w:val="left" w:pos="702"/>
              </w:tabs>
              <w:ind w:right="-108" w:hanging="108"/>
              <w:rPr>
                <w:b/>
                <w:sz w:val="20"/>
              </w:rPr>
            </w:pPr>
            <w:r w:rsidRPr="00EF4D4A">
              <w:rPr>
                <w:b/>
                <w:sz w:val="20"/>
              </w:rPr>
              <w:t xml:space="preserve">     25</w:t>
            </w:r>
            <w:r w:rsidR="002725CD" w:rsidRPr="00EF4D4A">
              <w:rPr>
                <w:b/>
                <w:sz w:val="20"/>
              </w:rPr>
              <w:t>,</w:t>
            </w:r>
            <w:r w:rsidRPr="00EF4D4A">
              <w:rPr>
                <w:b/>
                <w:sz w:val="20"/>
              </w:rPr>
              <w:t>31</w:t>
            </w:r>
            <w:r w:rsidR="002725CD" w:rsidRPr="00EF4D4A">
              <w:rPr>
                <w:b/>
                <w:sz w:val="20"/>
              </w:rPr>
              <w:t>8</w:t>
            </w:r>
          </w:p>
        </w:tc>
        <w:tc>
          <w:tcPr>
            <w:tcW w:w="1800" w:type="dxa"/>
            <w:tcBorders>
              <w:top w:val="single" w:sz="8" w:space="0" w:color="auto"/>
              <w:left w:val="single" w:sz="4" w:space="0" w:color="auto"/>
              <w:right w:val="single" w:sz="4" w:space="0" w:color="auto"/>
            </w:tcBorders>
            <w:shd w:val="clear" w:color="auto" w:fill="auto"/>
          </w:tcPr>
          <w:p w:rsidR="002725CD" w:rsidRPr="00753209" w:rsidRDefault="002725CD" w:rsidP="00846B02">
            <w:pPr>
              <w:pStyle w:val="BodyText"/>
              <w:tabs>
                <w:tab w:val="left" w:pos="702"/>
              </w:tabs>
              <w:ind w:right="-108" w:hanging="108"/>
              <w:jc w:val="center"/>
              <w:rPr>
                <w:sz w:val="20"/>
              </w:rPr>
            </w:pPr>
            <w:r w:rsidRPr="00753209">
              <w:rPr>
                <w:sz w:val="20"/>
              </w:rPr>
              <w:t>1</w:t>
            </w:r>
            <w:r w:rsidR="00846B02">
              <w:rPr>
                <w:sz w:val="20"/>
              </w:rPr>
              <w:t>7</w:t>
            </w:r>
            <w:r w:rsidRPr="00753209">
              <w:rPr>
                <w:sz w:val="20"/>
              </w:rPr>
              <w:t>,</w:t>
            </w:r>
            <w:r w:rsidR="00846B02">
              <w:rPr>
                <w:sz w:val="20"/>
              </w:rPr>
              <w:t>408</w:t>
            </w:r>
          </w:p>
        </w:tc>
      </w:tr>
      <w:tr w:rsidR="002725CD" w:rsidRPr="00222E05" w:rsidTr="00290539">
        <w:tc>
          <w:tcPr>
            <w:tcW w:w="2700" w:type="dxa"/>
            <w:tcBorders>
              <w:right w:val="single" w:sz="4" w:space="0" w:color="auto"/>
            </w:tcBorders>
            <w:shd w:val="clear" w:color="auto" w:fill="auto"/>
          </w:tcPr>
          <w:p w:rsidR="002725CD" w:rsidRPr="00222E05" w:rsidRDefault="002725CD" w:rsidP="006B460C">
            <w:pPr>
              <w:pStyle w:val="BodyText"/>
              <w:ind w:right="-450"/>
              <w:rPr>
                <w:sz w:val="20"/>
              </w:rPr>
            </w:pPr>
            <w:r>
              <w:rPr>
                <w:sz w:val="20"/>
              </w:rPr>
              <w:t>Deferred taxation</w:t>
            </w:r>
          </w:p>
        </w:tc>
        <w:tc>
          <w:tcPr>
            <w:tcW w:w="1170" w:type="dxa"/>
            <w:tcBorders>
              <w:left w:val="single" w:sz="4" w:space="0" w:color="auto"/>
              <w:bottom w:val="single" w:sz="8" w:space="0" w:color="auto"/>
              <w:right w:val="single" w:sz="4" w:space="0" w:color="auto"/>
            </w:tcBorders>
            <w:shd w:val="clear" w:color="auto" w:fill="auto"/>
          </w:tcPr>
          <w:p w:rsidR="002725CD" w:rsidRPr="00EF4D4A" w:rsidRDefault="00EF4D4A" w:rsidP="007E2D2E">
            <w:pPr>
              <w:pStyle w:val="BodyText"/>
              <w:tabs>
                <w:tab w:val="left" w:pos="702"/>
              </w:tabs>
              <w:ind w:right="-108" w:hanging="108"/>
              <w:jc w:val="center"/>
              <w:rPr>
                <w:b/>
                <w:sz w:val="20"/>
              </w:rPr>
            </w:pPr>
            <w:r w:rsidRPr="00EF4D4A">
              <w:rPr>
                <w:b/>
                <w:sz w:val="20"/>
              </w:rPr>
              <w:t xml:space="preserve">   (736</w:t>
            </w:r>
            <w:r w:rsidR="002725CD" w:rsidRPr="00EF4D4A">
              <w:rPr>
                <w:b/>
                <w:sz w:val="20"/>
              </w:rPr>
              <w:t>)</w:t>
            </w:r>
          </w:p>
        </w:tc>
        <w:tc>
          <w:tcPr>
            <w:tcW w:w="1890" w:type="dxa"/>
            <w:tcBorders>
              <w:left w:val="single" w:sz="4" w:space="0" w:color="auto"/>
              <w:bottom w:val="single" w:sz="8" w:space="0" w:color="auto"/>
              <w:right w:val="single" w:sz="4" w:space="0" w:color="auto"/>
            </w:tcBorders>
            <w:shd w:val="clear" w:color="auto" w:fill="auto"/>
          </w:tcPr>
          <w:p w:rsidR="002725CD" w:rsidRPr="00EF4D4A" w:rsidRDefault="002725CD" w:rsidP="00A96B0F">
            <w:pPr>
              <w:pStyle w:val="BodyText"/>
              <w:tabs>
                <w:tab w:val="left" w:pos="702"/>
              </w:tabs>
              <w:ind w:right="-108" w:hanging="108"/>
              <w:rPr>
                <w:sz w:val="20"/>
              </w:rPr>
            </w:pPr>
            <w:r w:rsidRPr="00EF4D4A">
              <w:rPr>
                <w:sz w:val="20"/>
              </w:rPr>
              <w:t xml:space="preserve">            </w:t>
            </w:r>
            <w:r w:rsidR="00A96B0F">
              <w:rPr>
                <w:sz w:val="20"/>
              </w:rPr>
              <w:t>10</w:t>
            </w:r>
            <w:r w:rsidRPr="00EF4D4A">
              <w:rPr>
                <w:sz w:val="20"/>
              </w:rPr>
              <w:t>,</w:t>
            </w:r>
            <w:r w:rsidR="00A96B0F">
              <w:rPr>
                <w:sz w:val="20"/>
              </w:rPr>
              <w:t>993</w:t>
            </w:r>
          </w:p>
        </w:tc>
        <w:tc>
          <w:tcPr>
            <w:tcW w:w="1170" w:type="dxa"/>
            <w:tcBorders>
              <w:left w:val="single" w:sz="4" w:space="0" w:color="auto"/>
              <w:bottom w:val="single" w:sz="8" w:space="0" w:color="auto"/>
              <w:right w:val="single" w:sz="4" w:space="0" w:color="auto"/>
            </w:tcBorders>
            <w:shd w:val="clear" w:color="auto" w:fill="auto"/>
          </w:tcPr>
          <w:p w:rsidR="002725CD" w:rsidRPr="00EF4D4A" w:rsidRDefault="00EF4D4A" w:rsidP="00EF4D4A">
            <w:pPr>
              <w:pStyle w:val="BodyText"/>
              <w:tabs>
                <w:tab w:val="left" w:pos="702"/>
              </w:tabs>
              <w:ind w:right="-108" w:hanging="108"/>
              <w:jc w:val="center"/>
              <w:rPr>
                <w:b/>
                <w:sz w:val="20"/>
              </w:rPr>
            </w:pPr>
            <w:r w:rsidRPr="00EF4D4A">
              <w:rPr>
                <w:b/>
                <w:sz w:val="20"/>
              </w:rPr>
              <w:t xml:space="preserve"> </w:t>
            </w:r>
            <w:r w:rsidR="002725CD" w:rsidRPr="00EF4D4A">
              <w:rPr>
                <w:b/>
                <w:sz w:val="20"/>
              </w:rPr>
              <w:t>(</w:t>
            </w:r>
            <w:r w:rsidRPr="00EF4D4A">
              <w:rPr>
                <w:b/>
                <w:sz w:val="20"/>
              </w:rPr>
              <w:t>9</w:t>
            </w:r>
            <w:r w:rsidR="002725CD" w:rsidRPr="00EF4D4A">
              <w:rPr>
                <w:b/>
                <w:sz w:val="20"/>
              </w:rPr>
              <w:t>,</w:t>
            </w:r>
            <w:r w:rsidRPr="00EF4D4A">
              <w:rPr>
                <w:b/>
                <w:sz w:val="20"/>
              </w:rPr>
              <w:t>349</w:t>
            </w:r>
            <w:r w:rsidR="002725CD" w:rsidRPr="00EF4D4A">
              <w:rPr>
                <w:b/>
                <w:sz w:val="20"/>
              </w:rPr>
              <w:t>)</w:t>
            </w:r>
          </w:p>
        </w:tc>
        <w:tc>
          <w:tcPr>
            <w:tcW w:w="1800" w:type="dxa"/>
            <w:tcBorders>
              <w:left w:val="single" w:sz="4" w:space="0" w:color="auto"/>
              <w:bottom w:val="single" w:sz="8" w:space="0" w:color="auto"/>
              <w:right w:val="single" w:sz="4" w:space="0" w:color="auto"/>
            </w:tcBorders>
            <w:shd w:val="clear" w:color="auto" w:fill="auto"/>
          </w:tcPr>
          <w:p w:rsidR="002725CD" w:rsidRPr="00753209" w:rsidRDefault="00A96B0F" w:rsidP="00A96B0F">
            <w:pPr>
              <w:pStyle w:val="BodyText"/>
              <w:tabs>
                <w:tab w:val="left" w:pos="702"/>
              </w:tabs>
              <w:ind w:right="-108" w:hanging="108"/>
              <w:jc w:val="center"/>
              <w:rPr>
                <w:sz w:val="20"/>
              </w:rPr>
            </w:pPr>
            <w:r>
              <w:rPr>
                <w:sz w:val="20"/>
              </w:rPr>
              <w:t>10</w:t>
            </w:r>
            <w:r w:rsidR="00846B02">
              <w:rPr>
                <w:sz w:val="20"/>
              </w:rPr>
              <w:t>,8</w:t>
            </w:r>
            <w:r>
              <w:rPr>
                <w:sz w:val="20"/>
              </w:rPr>
              <w:t>31</w:t>
            </w:r>
          </w:p>
        </w:tc>
      </w:tr>
      <w:tr w:rsidR="002725CD" w:rsidRPr="00222E05" w:rsidTr="00290539">
        <w:tc>
          <w:tcPr>
            <w:tcW w:w="2700" w:type="dxa"/>
            <w:tcBorders>
              <w:right w:val="single" w:sz="4" w:space="0" w:color="auto"/>
            </w:tcBorders>
            <w:shd w:val="clear" w:color="auto" w:fill="auto"/>
          </w:tcPr>
          <w:p w:rsidR="002725CD" w:rsidRPr="00222E05" w:rsidRDefault="002725CD"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2725CD" w:rsidRPr="00EF4D4A" w:rsidRDefault="00EF4D4A" w:rsidP="00EF4D4A">
            <w:pPr>
              <w:pStyle w:val="BodyText"/>
              <w:tabs>
                <w:tab w:val="left" w:pos="702"/>
              </w:tabs>
              <w:ind w:right="-108" w:hanging="108"/>
              <w:rPr>
                <w:b/>
                <w:sz w:val="20"/>
              </w:rPr>
            </w:pPr>
            <w:r w:rsidRPr="00EF4D4A">
              <w:rPr>
                <w:b/>
                <w:sz w:val="20"/>
              </w:rPr>
              <w:t xml:space="preserve">     13,594</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2725CD" w:rsidRPr="00EF4D4A" w:rsidRDefault="00A96B0F" w:rsidP="00A43C0D">
            <w:pPr>
              <w:pStyle w:val="BodyText"/>
              <w:tabs>
                <w:tab w:val="left" w:pos="702"/>
              </w:tabs>
              <w:ind w:right="-108" w:hanging="108"/>
              <w:jc w:val="center"/>
              <w:rPr>
                <w:sz w:val="20"/>
              </w:rPr>
            </w:pPr>
            <w:r>
              <w:rPr>
                <w:sz w:val="20"/>
              </w:rPr>
              <w:t>17,451</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2725CD" w:rsidRPr="00EF4D4A" w:rsidRDefault="00EF4D4A" w:rsidP="00EF4D4A">
            <w:pPr>
              <w:pStyle w:val="BodyText"/>
              <w:tabs>
                <w:tab w:val="left" w:pos="702"/>
              </w:tabs>
              <w:ind w:right="-108" w:hanging="108"/>
              <w:rPr>
                <w:b/>
                <w:sz w:val="20"/>
              </w:rPr>
            </w:pPr>
            <w:r w:rsidRPr="00EF4D4A">
              <w:rPr>
                <w:b/>
                <w:sz w:val="20"/>
              </w:rPr>
              <w:t xml:space="preserve">     15,969</w:t>
            </w:r>
          </w:p>
        </w:tc>
        <w:tc>
          <w:tcPr>
            <w:tcW w:w="1800" w:type="dxa"/>
            <w:tcBorders>
              <w:top w:val="single" w:sz="8" w:space="0" w:color="auto"/>
              <w:left w:val="single" w:sz="4" w:space="0" w:color="auto"/>
              <w:bottom w:val="single" w:sz="12" w:space="0" w:color="auto"/>
              <w:right w:val="single" w:sz="4" w:space="0" w:color="auto"/>
            </w:tcBorders>
            <w:shd w:val="clear" w:color="auto" w:fill="auto"/>
          </w:tcPr>
          <w:p w:rsidR="002725CD" w:rsidRPr="00753209" w:rsidRDefault="00A96B0F" w:rsidP="00846B02">
            <w:pPr>
              <w:pStyle w:val="BodyText"/>
              <w:tabs>
                <w:tab w:val="left" w:pos="702"/>
              </w:tabs>
              <w:ind w:right="-108" w:hanging="108"/>
              <w:jc w:val="center"/>
              <w:rPr>
                <w:sz w:val="20"/>
              </w:rPr>
            </w:pPr>
            <w:r>
              <w:rPr>
                <w:sz w:val="20"/>
              </w:rPr>
              <w:t>28,239</w:t>
            </w:r>
          </w:p>
        </w:tc>
      </w:tr>
      <w:tr w:rsidR="00290539" w:rsidRPr="00222E05" w:rsidTr="00290539">
        <w:tc>
          <w:tcPr>
            <w:tcW w:w="2700" w:type="dxa"/>
            <w:tcBorders>
              <w:right w:val="single" w:sz="4" w:space="0" w:color="auto"/>
            </w:tcBorders>
            <w:shd w:val="clear" w:color="auto" w:fill="auto"/>
          </w:tcPr>
          <w:p w:rsidR="00290539" w:rsidRPr="00290539" w:rsidRDefault="00F22956" w:rsidP="00290539">
            <w:pPr>
              <w:pStyle w:val="BodyText"/>
              <w:ind w:right="-450" w:hanging="108"/>
              <w:rPr>
                <w:sz w:val="20"/>
                <w:u w:val="single"/>
              </w:rPr>
            </w:pPr>
            <w:r>
              <w:rPr>
                <w:sz w:val="20"/>
                <w:u w:val="single"/>
              </w:rPr>
              <w:t>Attributable to:-</w:t>
            </w:r>
          </w:p>
        </w:tc>
        <w:tc>
          <w:tcPr>
            <w:tcW w:w="1170" w:type="dxa"/>
            <w:tcBorders>
              <w:top w:val="single" w:sz="12" w:space="0" w:color="auto"/>
              <w:left w:val="single" w:sz="4" w:space="0" w:color="auto"/>
              <w:right w:val="single" w:sz="4" w:space="0" w:color="auto"/>
            </w:tcBorders>
            <w:shd w:val="clear" w:color="auto" w:fill="auto"/>
          </w:tcPr>
          <w:p w:rsidR="00290539" w:rsidRPr="00EF4D4A" w:rsidRDefault="00290539" w:rsidP="00EF4D4A">
            <w:pPr>
              <w:pStyle w:val="BodyText"/>
              <w:tabs>
                <w:tab w:val="left" w:pos="702"/>
              </w:tabs>
              <w:ind w:right="-108" w:hanging="108"/>
              <w:rPr>
                <w:b/>
                <w:sz w:val="20"/>
              </w:rPr>
            </w:pPr>
          </w:p>
        </w:tc>
        <w:tc>
          <w:tcPr>
            <w:tcW w:w="1890" w:type="dxa"/>
            <w:tcBorders>
              <w:top w:val="single" w:sz="12" w:space="0" w:color="auto"/>
              <w:left w:val="single" w:sz="4" w:space="0" w:color="auto"/>
              <w:right w:val="single" w:sz="4" w:space="0" w:color="auto"/>
            </w:tcBorders>
            <w:shd w:val="clear" w:color="auto" w:fill="auto"/>
          </w:tcPr>
          <w:p w:rsidR="00290539" w:rsidRDefault="00290539" w:rsidP="00A43C0D">
            <w:pPr>
              <w:pStyle w:val="BodyText"/>
              <w:tabs>
                <w:tab w:val="left" w:pos="702"/>
              </w:tabs>
              <w:ind w:right="-108" w:hanging="108"/>
              <w:jc w:val="center"/>
              <w:rPr>
                <w:sz w:val="20"/>
              </w:rPr>
            </w:pPr>
          </w:p>
        </w:tc>
        <w:tc>
          <w:tcPr>
            <w:tcW w:w="1170" w:type="dxa"/>
            <w:tcBorders>
              <w:top w:val="single" w:sz="12" w:space="0" w:color="auto"/>
              <w:left w:val="single" w:sz="4" w:space="0" w:color="auto"/>
              <w:right w:val="single" w:sz="4" w:space="0" w:color="auto"/>
            </w:tcBorders>
            <w:shd w:val="clear" w:color="auto" w:fill="auto"/>
          </w:tcPr>
          <w:p w:rsidR="00290539" w:rsidRPr="00EF4D4A" w:rsidRDefault="00290539" w:rsidP="00EF4D4A">
            <w:pPr>
              <w:pStyle w:val="BodyText"/>
              <w:tabs>
                <w:tab w:val="left" w:pos="702"/>
              </w:tabs>
              <w:ind w:right="-108" w:hanging="108"/>
              <w:rPr>
                <w:b/>
                <w:sz w:val="20"/>
              </w:rPr>
            </w:pPr>
          </w:p>
        </w:tc>
        <w:tc>
          <w:tcPr>
            <w:tcW w:w="1800" w:type="dxa"/>
            <w:tcBorders>
              <w:top w:val="single" w:sz="12" w:space="0" w:color="auto"/>
              <w:left w:val="single" w:sz="4" w:space="0" w:color="auto"/>
              <w:right w:val="single" w:sz="4" w:space="0" w:color="auto"/>
            </w:tcBorders>
            <w:shd w:val="clear" w:color="auto" w:fill="auto"/>
          </w:tcPr>
          <w:p w:rsidR="00290539" w:rsidRDefault="00290539" w:rsidP="00846B02">
            <w:pPr>
              <w:pStyle w:val="BodyText"/>
              <w:tabs>
                <w:tab w:val="left" w:pos="702"/>
              </w:tabs>
              <w:ind w:right="-108" w:hanging="108"/>
              <w:jc w:val="center"/>
              <w:rPr>
                <w:sz w:val="20"/>
              </w:rPr>
            </w:pPr>
          </w:p>
        </w:tc>
      </w:tr>
      <w:tr w:rsidR="00290539" w:rsidRPr="00222E05" w:rsidTr="00290539">
        <w:tc>
          <w:tcPr>
            <w:tcW w:w="2700" w:type="dxa"/>
            <w:tcBorders>
              <w:right w:val="single" w:sz="4" w:space="0" w:color="auto"/>
            </w:tcBorders>
            <w:shd w:val="clear" w:color="auto" w:fill="auto"/>
          </w:tcPr>
          <w:p w:rsidR="00290539" w:rsidRPr="00222E05" w:rsidRDefault="00290539" w:rsidP="00F22956">
            <w:pPr>
              <w:pStyle w:val="BodyText"/>
              <w:ind w:right="-450"/>
              <w:jc w:val="left"/>
              <w:rPr>
                <w:sz w:val="20"/>
              </w:rPr>
            </w:pPr>
            <w:r w:rsidRPr="007344A4">
              <w:rPr>
                <w:sz w:val="20"/>
              </w:rPr>
              <w:t xml:space="preserve">- </w:t>
            </w:r>
            <w:r w:rsidR="00F22956">
              <w:rPr>
                <w:sz w:val="20"/>
              </w:rPr>
              <w:t>C</w:t>
            </w:r>
            <w:r>
              <w:rPr>
                <w:sz w:val="20"/>
              </w:rPr>
              <w:t>ontinuing operations</w:t>
            </w:r>
          </w:p>
        </w:tc>
        <w:tc>
          <w:tcPr>
            <w:tcW w:w="1170" w:type="dxa"/>
            <w:tcBorders>
              <w:left w:val="single" w:sz="4" w:space="0" w:color="auto"/>
              <w:right w:val="single" w:sz="4" w:space="0" w:color="auto"/>
            </w:tcBorders>
            <w:shd w:val="clear" w:color="auto" w:fill="auto"/>
          </w:tcPr>
          <w:p w:rsidR="00290539" w:rsidRPr="00EF4D4A" w:rsidRDefault="00290539" w:rsidP="00F22956">
            <w:pPr>
              <w:pStyle w:val="BodyText"/>
              <w:tabs>
                <w:tab w:val="left" w:pos="702"/>
              </w:tabs>
              <w:ind w:right="-108" w:hanging="108"/>
              <w:rPr>
                <w:b/>
                <w:sz w:val="20"/>
              </w:rPr>
            </w:pPr>
            <w:r>
              <w:rPr>
                <w:b/>
                <w:sz w:val="20"/>
              </w:rPr>
              <w:t xml:space="preserve">       9,5</w:t>
            </w:r>
            <w:r w:rsidR="000633F3">
              <w:rPr>
                <w:b/>
                <w:sz w:val="20"/>
              </w:rPr>
              <w:t>30</w:t>
            </w:r>
          </w:p>
        </w:tc>
        <w:tc>
          <w:tcPr>
            <w:tcW w:w="1890" w:type="dxa"/>
            <w:tcBorders>
              <w:left w:val="single" w:sz="4" w:space="0" w:color="auto"/>
              <w:right w:val="single" w:sz="4" w:space="0" w:color="auto"/>
            </w:tcBorders>
            <w:shd w:val="clear" w:color="auto" w:fill="auto"/>
          </w:tcPr>
          <w:p w:rsidR="00290539" w:rsidRDefault="00290539" w:rsidP="00F22956">
            <w:pPr>
              <w:pStyle w:val="BodyText"/>
              <w:tabs>
                <w:tab w:val="left" w:pos="702"/>
              </w:tabs>
              <w:ind w:right="-108" w:hanging="108"/>
              <w:jc w:val="left"/>
              <w:rPr>
                <w:sz w:val="20"/>
              </w:rPr>
            </w:pPr>
            <w:r>
              <w:rPr>
                <w:sz w:val="20"/>
              </w:rPr>
              <w:t xml:space="preserve">            </w:t>
            </w:r>
            <w:r w:rsidR="005F4CBF">
              <w:rPr>
                <w:sz w:val="20"/>
              </w:rPr>
              <w:t xml:space="preserve"> </w:t>
            </w:r>
            <w:r>
              <w:rPr>
                <w:sz w:val="20"/>
              </w:rPr>
              <w:t>13,716</w:t>
            </w:r>
          </w:p>
        </w:tc>
        <w:tc>
          <w:tcPr>
            <w:tcW w:w="1170" w:type="dxa"/>
            <w:tcBorders>
              <w:left w:val="single" w:sz="4" w:space="0" w:color="auto"/>
              <w:right w:val="single" w:sz="4" w:space="0" w:color="auto"/>
            </w:tcBorders>
            <w:shd w:val="clear" w:color="auto" w:fill="auto"/>
          </w:tcPr>
          <w:p w:rsidR="00290539" w:rsidRPr="00EF4D4A" w:rsidRDefault="00290539" w:rsidP="00F22956">
            <w:pPr>
              <w:pStyle w:val="BodyText"/>
              <w:tabs>
                <w:tab w:val="left" w:pos="702"/>
              </w:tabs>
              <w:ind w:right="-108" w:hanging="108"/>
              <w:rPr>
                <w:b/>
                <w:sz w:val="20"/>
              </w:rPr>
            </w:pPr>
            <w:r>
              <w:rPr>
                <w:b/>
                <w:sz w:val="20"/>
              </w:rPr>
              <w:t xml:space="preserve">       8,393</w:t>
            </w:r>
          </w:p>
        </w:tc>
        <w:tc>
          <w:tcPr>
            <w:tcW w:w="1800" w:type="dxa"/>
            <w:tcBorders>
              <w:left w:val="single" w:sz="4" w:space="0" w:color="auto"/>
              <w:right w:val="single" w:sz="4" w:space="0" w:color="auto"/>
            </w:tcBorders>
            <w:shd w:val="clear" w:color="auto" w:fill="auto"/>
          </w:tcPr>
          <w:p w:rsidR="00290539" w:rsidRDefault="00290539" w:rsidP="00F22956">
            <w:pPr>
              <w:pStyle w:val="BodyText"/>
              <w:tabs>
                <w:tab w:val="left" w:pos="702"/>
              </w:tabs>
              <w:ind w:right="-108" w:hanging="108"/>
              <w:rPr>
                <w:sz w:val="20"/>
              </w:rPr>
            </w:pPr>
            <w:r>
              <w:rPr>
                <w:sz w:val="20"/>
              </w:rPr>
              <w:t xml:space="preserve">     </w:t>
            </w:r>
            <w:r w:rsidR="005F4CBF">
              <w:rPr>
                <w:sz w:val="20"/>
              </w:rPr>
              <w:t xml:space="preserve">      </w:t>
            </w:r>
            <w:r>
              <w:rPr>
                <w:sz w:val="20"/>
              </w:rPr>
              <w:t>20,992</w:t>
            </w:r>
          </w:p>
        </w:tc>
      </w:tr>
      <w:tr w:rsidR="00290539" w:rsidRPr="00222E05" w:rsidTr="00290539">
        <w:tc>
          <w:tcPr>
            <w:tcW w:w="2700" w:type="dxa"/>
            <w:tcBorders>
              <w:right w:val="single" w:sz="4" w:space="0" w:color="auto"/>
            </w:tcBorders>
            <w:shd w:val="clear" w:color="auto" w:fill="auto"/>
          </w:tcPr>
          <w:p w:rsidR="00290539" w:rsidRPr="00222E05" w:rsidRDefault="00290539" w:rsidP="00F22956">
            <w:pPr>
              <w:pStyle w:val="BodyText"/>
              <w:ind w:right="-450"/>
              <w:jc w:val="left"/>
              <w:rPr>
                <w:sz w:val="20"/>
              </w:rPr>
            </w:pPr>
            <w:r w:rsidRPr="007344A4">
              <w:rPr>
                <w:sz w:val="20"/>
              </w:rPr>
              <w:t>-</w:t>
            </w:r>
            <w:r w:rsidR="00F22956">
              <w:rPr>
                <w:sz w:val="20"/>
              </w:rPr>
              <w:t xml:space="preserve"> D</w:t>
            </w:r>
            <w:r>
              <w:rPr>
                <w:sz w:val="20"/>
              </w:rPr>
              <w:t>iscontinued operation</w:t>
            </w:r>
          </w:p>
        </w:tc>
        <w:tc>
          <w:tcPr>
            <w:tcW w:w="1170" w:type="dxa"/>
            <w:tcBorders>
              <w:left w:val="single" w:sz="4" w:space="0" w:color="auto"/>
              <w:bottom w:val="single" w:sz="8" w:space="0" w:color="auto"/>
              <w:right w:val="single" w:sz="4" w:space="0" w:color="auto"/>
            </w:tcBorders>
            <w:shd w:val="clear" w:color="auto" w:fill="auto"/>
          </w:tcPr>
          <w:p w:rsidR="00290539" w:rsidRPr="006E2B92" w:rsidRDefault="00290539" w:rsidP="00F22956">
            <w:pPr>
              <w:pStyle w:val="BodyText"/>
              <w:ind w:right="-450" w:hanging="108"/>
              <w:rPr>
                <w:b/>
                <w:color w:val="auto"/>
                <w:sz w:val="20"/>
              </w:rPr>
            </w:pPr>
            <w:r>
              <w:rPr>
                <w:b/>
                <w:color w:val="auto"/>
                <w:sz w:val="20"/>
              </w:rPr>
              <w:t xml:space="preserve">    </w:t>
            </w:r>
            <w:r w:rsidRPr="006E2B92">
              <w:rPr>
                <w:b/>
                <w:color w:val="auto"/>
                <w:sz w:val="20"/>
              </w:rPr>
              <w:t xml:space="preserve">  </w:t>
            </w:r>
            <w:r>
              <w:rPr>
                <w:b/>
                <w:color w:val="auto"/>
                <w:sz w:val="20"/>
              </w:rPr>
              <w:t xml:space="preserve"> 4</w:t>
            </w:r>
            <w:r w:rsidRPr="006E2B92">
              <w:rPr>
                <w:b/>
                <w:color w:val="auto"/>
                <w:sz w:val="20"/>
              </w:rPr>
              <w:t>,</w:t>
            </w:r>
            <w:r>
              <w:rPr>
                <w:b/>
                <w:color w:val="auto"/>
                <w:sz w:val="20"/>
              </w:rPr>
              <w:t>06</w:t>
            </w:r>
            <w:r w:rsidR="000633F3">
              <w:rPr>
                <w:b/>
                <w:color w:val="auto"/>
                <w:sz w:val="20"/>
              </w:rPr>
              <w:t>4</w:t>
            </w:r>
          </w:p>
        </w:tc>
        <w:tc>
          <w:tcPr>
            <w:tcW w:w="1890" w:type="dxa"/>
            <w:tcBorders>
              <w:left w:val="single" w:sz="4" w:space="0" w:color="auto"/>
              <w:bottom w:val="single" w:sz="8" w:space="0" w:color="auto"/>
              <w:right w:val="single" w:sz="4" w:space="0" w:color="auto"/>
            </w:tcBorders>
            <w:shd w:val="clear" w:color="auto" w:fill="auto"/>
          </w:tcPr>
          <w:p w:rsidR="00290539" w:rsidRPr="00CD3426" w:rsidRDefault="00290539" w:rsidP="00F22956">
            <w:pPr>
              <w:pStyle w:val="BodyText"/>
              <w:ind w:right="-450" w:hanging="108"/>
              <w:jc w:val="left"/>
              <w:rPr>
                <w:color w:val="auto"/>
                <w:sz w:val="20"/>
              </w:rPr>
            </w:pPr>
            <w:r>
              <w:rPr>
                <w:color w:val="auto"/>
                <w:sz w:val="20"/>
              </w:rPr>
              <w:t xml:space="preserve">               3</w:t>
            </w:r>
            <w:r w:rsidRPr="00CD3426">
              <w:rPr>
                <w:color w:val="auto"/>
                <w:sz w:val="20"/>
              </w:rPr>
              <w:t>,</w:t>
            </w:r>
            <w:r>
              <w:rPr>
                <w:color w:val="auto"/>
                <w:sz w:val="20"/>
              </w:rPr>
              <w:t>735</w:t>
            </w:r>
          </w:p>
        </w:tc>
        <w:tc>
          <w:tcPr>
            <w:tcW w:w="1170" w:type="dxa"/>
            <w:tcBorders>
              <w:left w:val="single" w:sz="4" w:space="0" w:color="auto"/>
              <w:bottom w:val="single" w:sz="8" w:space="0" w:color="auto"/>
              <w:right w:val="single" w:sz="4" w:space="0" w:color="auto"/>
            </w:tcBorders>
            <w:shd w:val="clear" w:color="auto" w:fill="auto"/>
          </w:tcPr>
          <w:p w:rsidR="00290539" w:rsidRPr="006E2B92" w:rsidRDefault="00290539" w:rsidP="00F22956">
            <w:pPr>
              <w:pStyle w:val="BodyText"/>
              <w:ind w:right="-450" w:hanging="108"/>
              <w:rPr>
                <w:b/>
                <w:color w:val="auto"/>
                <w:sz w:val="20"/>
              </w:rPr>
            </w:pPr>
            <w:r w:rsidRPr="006E2B92">
              <w:rPr>
                <w:b/>
                <w:color w:val="auto"/>
                <w:sz w:val="20"/>
              </w:rPr>
              <w:t xml:space="preserve">  </w:t>
            </w:r>
            <w:r w:rsidR="005F4CBF">
              <w:rPr>
                <w:b/>
                <w:color w:val="auto"/>
                <w:sz w:val="20"/>
              </w:rPr>
              <w:t xml:space="preserve">    </w:t>
            </w:r>
            <w:r>
              <w:rPr>
                <w:b/>
                <w:color w:val="auto"/>
                <w:sz w:val="20"/>
              </w:rPr>
              <w:t xml:space="preserve"> 7,576</w:t>
            </w:r>
          </w:p>
        </w:tc>
        <w:tc>
          <w:tcPr>
            <w:tcW w:w="1800" w:type="dxa"/>
            <w:tcBorders>
              <w:left w:val="single" w:sz="4" w:space="0" w:color="auto"/>
              <w:bottom w:val="single" w:sz="8" w:space="0" w:color="auto"/>
              <w:right w:val="single" w:sz="4" w:space="0" w:color="auto"/>
            </w:tcBorders>
            <w:shd w:val="clear" w:color="auto" w:fill="auto"/>
          </w:tcPr>
          <w:p w:rsidR="00290539" w:rsidRPr="00A92A2D" w:rsidRDefault="00290539" w:rsidP="00F22956">
            <w:pPr>
              <w:pStyle w:val="BodyText"/>
              <w:ind w:right="-450" w:hanging="108"/>
              <w:rPr>
                <w:color w:val="auto"/>
                <w:sz w:val="20"/>
              </w:rPr>
            </w:pPr>
            <w:r>
              <w:rPr>
                <w:color w:val="auto"/>
                <w:sz w:val="20"/>
              </w:rPr>
              <w:t xml:space="preserve">     </w:t>
            </w:r>
            <w:r w:rsidR="005F4CBF">
              <w:rPr>
                <w:color w:val="auto"/>
                <w:sz w:val="20"/>
              </w:rPr>
              <w:t xml:space="preserve">      </w:t>
            </w:r>
            <w:r>
              <w:rPr>
                <w:color w:val="auto"/>
                <w:sz w:val="20"/>
              </w:rPr>
              <w:t xml:space="preserve">  7</w:t>
            </w:r>
            <w:r w:rsidRPr="00A92A2D">
              <w:rPr>
                <w:color w:val="auto"/>
                <w:sz w:val="20"/>
              </w:rPr>
              <w:t>,</w:t>
            </w:r>
            <w:r>
              <w:rPr>
                <w:color w:val="auto"/>
                <w:sz w:val="20"/>
              </w:rPr>
              <w:t>247</w:t>
            </w:r>
          </w:p>
        </w:tc>
      </w:tr>
      <w:tr w:rsidR="00290539" w:rsidRPr="00222E05" w:rsidTr="00C3747A">
        <w:tc>
          <w:tcPr>
            <w:tcW w:w="2700" w:type="dxa"/>
            <w:tcBorders>
              <w:right w:val="single" w:sz="4" w:space="0" w:color="auto"/>
            </w:tcBorders>
            <w:shd w:val="clear" w:color="auto" w:fill="auto"/>
          </w:tcPr>
          <w:p w:rsidR="00290539" w:rsidRPr="00222E05" w:rsidRDefault="00290539"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290539" w:rsidRPr="00EF4D4A" w:rsidRDefault="00290539" w:rsidP="00EC5651">
            <w:pPr>
              <w:pStyle w:val="BodyText"/>
              <w:tabs>
                <w:tab w:val="left" w:pos="702"/>
              </w:tabs>
              <w:ind w:right="-108" w:hanging="108"/>
              <w:rPr>
                <w:b/>
                <w:sz w:val="20"/>
              </w:rPr>
            </w:pPr>
            <w:r w:rsidRPr="00EF4D4A">
              <w:rPr>
                <w:b/>
                <w:sz w:val="20"/>
              </w:rPr>
              <w:t xml:space="preserve">     13,594</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290539" w:rsidRPr="00EF4D4A" w:rsidRDefault="00290539" w:rsidP="00EC5651">
            <w:pPr>
              <w:pStyle w:val="BodyText"/>
              <w:tabs>
                <w:tab w:val="left" w:pos="702"/>
              </w:tabs>
              <w:ind w:right="-108" w:hanging="108"/>
              <w:jc w:val="center"/>
              <w:rPr>
                <w:sz w:val="20"/>
              </w:rPr>
            </w:pPr>
            <w:r>
              <w:rPr>
                <w:sz w:val="20"/>
              </w:rPr>
              <w:t xml:space="preserve"> 17,451</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290539" w:rsidRPr="00EF4D4A" w:rsidRDefault="00290539" w:rsidP="00EC5651">
            <w:pPr>
              <w:pStyle w:val="BodyText"/>
              <w:tabs>
                <w:tab w:val="left" w:pos="702"/>
              </w:tabs>
              <w:ind w:right="-108" w:hanging="108"/>
              <w:rPr>
                <w:b/>
                <w:sz w:val="20"/>
              </w:rPr>
            </w:pPr>
            <w:r w:rsidRPr="00EF4D4A">
              <w:rPr>
                <w:b/>
                <w:sz w:val="20"/>
              </w:rPr>
              <w:t xml:space="preserve">     15,969</w:t>
            </w:r>
          </w:p>
        </w:tc>
        <w:tc>
          <w:tcPr>
            <w:tcW w:w="1800" w:type="dxa"/>
            <w:tcBorders>
              <w:top w:val="single" w:sz="8" w:space="0" w:color="auto"/>
              <w:left w:val="single" w:sz="4" w:space="0" w:color="auto"/>
              <w:bottom w:val="single" w:sz="12" w:space="0" w:color="auto"/>
              <w:right w:val="single" w:sz="4" w:space="0" w:color="auto"/>
            </w:tcBorders>
            <w:shd w:val="clear" w:color="auto" w:fill="auto"/>
          </w:tcPr>
          <w:p w:rsidR="00290539" w:rsidRPr="00753209" w:rsidRDefault="00290539" w:rsidP="00EC5651">
            <w:pPr>
              <w:pStyle w:val="BodyText"/>
              <w:tabs>
                <w:tab w:val="left" w:pos="702"/>
              </w:tabs>
              <w:ind w:right="-108" w:hanging="108"/>
              <w:jc w:val="center"/>
              <w:rPr>
                <w:sz w:val="20"/>
              </w:rPr>
            </w:pPr>
            <w:r>
              <w:rPr>
                <w:sz w:val="20"/>
              </w:rPr>
              <w:t>28,239</w:t>
            </w:r>
          </w:p>
        </w:tc>
      </w:tr>
    </w:tbl>
    <w:p w:rsidR="007233FD" w:rsidRDefault="007233FD" w:rsidP="00491580">
      <w:pPr>
        <w:pStyle w:val="BodyText"/>
        <w:tabs>
          <w:tab w:val="left" w:pos="720"/>
        </w:tabs>
        <w:ind w:left="720" w:right="-450" w:hanging="1800"/>
        <w:rPr>
          <w:b/>
          <w:sz w:val="20"/>
        </w:rPr>
      </w:pPr>
    </w:p>
    <w:p w:rsidR="002D7571" w:rsidRDefault="00365537" w:rsidP="00D316FE">
      <w:pPr>
        <w:pStyle w:val="BodyText"/>
        <w:tabs>
          <w:tab w:val="left" w:pos="720"/>
        </w:tabs>
        <w:ind w:left="720" w:right="-90" w:hanging="1800"/>
        <w:rPr>
          <w:sz w:val="20"/>
        </w:rPr>
      </w:pPr>
      <w:r>
        <w:rPr>
          <w:sz w:val="20"/>
        </w:rPr>
        <w:tab/>
      </w:r>
      <w:r w:rsidR="00740ACE">
        <w:rPr>
          <w:sz w:val="20"/>
        </w:rPr>
        <w:t xml:space="preserve">In </w:t>
      </w:r>
      <w:r w:rsidR="002D7571">
        <w:rPr>
          <w:sz w:val="20"/>
        </w:rPr>
        <w:t>Q4 2011</w:t>
      </w:r>
      <w:r w:rsidR="00F22956">
        <w:rPr>
          <w:sz w:val="20"/>
        </w:rPr>
        <w:t xml:space="preserve"> the </w:t>
      </w:r>
      <w:r w:rsidR="00740ACE">
        <w:rPr>
          <w:sz w:val="20"/>
        </w:rPr>
        <w:t>unused tax losses incurred prior to 1 January 2011 was de-</w:t>
      </w:r>
      <w:proofErr w:type="spellStart"/>
      <w:r w:rsidR="00740ACE">
        <w:rPr>
          <w:sz w:val="20"/>
        </w:rPr>
        <w:t>recognised</w:t>
      </w:r>
      <w:proofErr w:type="spellEnd"/>
      <w:r w:rsidR="00740ACE">
        <w:rPr>
          <w:sz w:val="20"/>
        </w:rPr>
        <w:t xml:space="preserve"> as deferred assets following the </w:t>
      </w:r>
      <w:r w:rsidR="00740ACE" w:rsidRPr="00E1355D">
        <w:rPr>
          <w:sz w:val="20"/>
        </w:rPr>
        <w:t xml:space="preserve">amendment of Income Tax (Amendment) Decree 2012 (Decree No </w:t>
      </w:r>
      <w:r w:rsidR="00740ACE">
        <w:rPr>
          <w:sz w:val="20"/>
        </w:rPr>
        <w:t>6</w:t>
      </w:r>
      <w:r w:rsidR="00740ACE" w:rsidRPr="00E1355D">
        <w:rPr>
          <w:sz w:val="20"/>
        </w:rPr>
        <w:t xml:space="preserve"> of 2012) in Fiji</w:t>
      </w:r>
      <w:r w:rsidR="00740ACE">
        <w:rPr>
          <w:sz w:val="20"/>
        </w:rPr>
        <w:t xml:space="preserve"> wherein all carr</w:t>
      </w:r>
      <w:r w:rsidR="00325A74">
        <w:rPr>
          <w:sz w:val="20"/>
        </w:rPr>
        <w:t>ying</w:t>
      </w:r>
      <w:r w:rsidR="00740ACE">
        <w:rPr>
          <w:sz w:val="20"/>
        </w:rPr>
        <w:t xml:space="preserve"> forward of income tax losses ceased to continue from 1 January 2012. Thereafter on 24 April 2012 </w:t>
      </w:r>
      <w:r w:rsidR="002D7571">
        <w:rPr>
          <w:sz w:val="20"/>
        </w:rPr>
        <w:t>the Fiji Revenue &amp; Customs Authority amended the ruling to permit the carrying forward of such losses for up to f</w:t>
      </w:r>
      <w:r w:rsidR="00D807B8">
        <w:rPr>
          <w:sz w:val="20"/>
        </w:rPr>
        <w:t>our</w:t>
      </w:r>
      <w:r w:rsidR="002D7571">
        <w:rPr>
          <w:sz w:val="20"/>
        </w:rPr>
        <w:t xml:space="preserve"> (</w:t>
      </w:r>
      <w:r w:rsidR="00A35FD7">
        <w:rPr>
          <w:sz w:val="20"/>
        </w:rPr>
        <w:t>4</w:t>
      </w:r>
      <w:r w:rsidR="002D7571">
        <w:rPr>
          <w:sz w:val="20"/>
        </w:rPr>
        <w:t>) years</w:t>
      </w:r>
      <w:r w:rsidR="00A35FD7">
        <w:rPr>
          <w:sz w:val="20"/>
        </w:rPr>
        <w:t xml:space="preserve"> from the year of loss</w:t>
      </w:r>
      <w:r w:rsidR="00E743BB">
        <w:rPr>
          <w:sz w:val="20"/>
        </w:rPr>
        <w:t xml:space="preserve"> instead of eight (8) years (prior to Decree No. 6 of 2012)</w:t>
      </w:r>
      <w:r w:rsidR="002D7571">
        <w:rPr>
          <w:sz w:val="20"/>
        </w:rPr>
        <w:t xml:space="preserve">. Arising </w:t>
      </w:r>
      <w:proofErr w:type="spellStart"/>
      <w:r w:rsidR="002D7571">
        <w:rPr>
          <w:sz w:val="20"/>
        </w:rPr>
        <w:t>therefrom</w:t>
      </w:r>
      <w:proofErr w:type="spellEnd"/>
      <w:r w:rsidR="002D7571">
        <w:rPr>
          <w:sz w:val="20"/>
        </w:rPr>
        <w:t xml:space="preserve"> provision for deferred taxation of RM8.61 </w:t>
      </w:r>
      <w:r w:rsidR="00E42579">
        <w:rPr>
          <w:sz w:val="20"/>
        </w:rPr>
        <w:t xml:space="preserve">million </w:t>
      </w:r>
      <w:r w:rsidR="002D7571">
        <w:rPr>
          <w:sz w:val="20"/>
        </w:rPr>
        <w:t xml:space="preserve">was reversed in the </w:t>
      </w:r>
      <w:r w:rsidR="00E743BB">
        <w:rPr>
          <w:sz w:val="20"/>
        </w:rPr>
        <w:t>first</w:t>
      </w:r>
      <w:r w:rsidR="00F22956">
        <w:rPr>
          <w:sz w:val="20"/>
        </w:rPr>
        <w:t xml:space="preserve"> quarter of 2012.</w:t>
      </w:r>
    </w:p>
    <w:p w:rsidR="002D7571" w:rsidRDefault="002D7571" w:rsidP="00D316FE">
      <w:pPr>
        <w:pStyle w:val="BodyText"/>
        <w:tabs>
          <w:tab w:val="left" w:pos="720"/>
        </w:tabs>
        <w:ind w:left="720" w:right="-90" w:hanging="1800"/>
        <w:rPr>
          <w:sz w:val="20"/>
        </w:rPr>
      </w:pPr>
    </w:p>
    <w:p w:rsidR="00C11A7F" w:rsidRDefault="00C11A7F" w:rsidP="00C11A7F">
      <w:pPr>
        <w:pStyle w:val="BodyText"/>
        <w:tabs>
          <w:tab w:val="left" w:pos="720"/>
        </w:tabs>
        <w:ind w:left="720" w:right="-90"/>
        <w:rPr>
          <w:sz w:val="20"/>
        </w:rPr>
      </w:pPr>
      <w:r>
        <w:rPr>
          <w:sz w:val="20"/>
        </w:rPr>
        <w:t>T</w:t>
      </w:r>
      <w:r w:rsidRPr="00C5136E">
        <w:rPr>
          <w:sz w:val="20"/>
        </w:rPr>
        <w:t>he Group’s effective tax rate was higher than the statutory rates as the tax losses suffered by certain subsidiaries were not available as group relief.</w:t>
      </w:r>
      <w:r>
        <w:rPr>
          <w:sz w:val="20"/>
        </w:rPr>
        <w:t xml:space="preserve">  </w:t>
      </w:r>
    </w:p>
    <w:p w:rsidR="00C11A7F" w:rsidRDefault="00C11A7F" w:rsidP="00D316FE">
      <w:pPr>
        <w:pStyle w:val="BodyText"/>
        <w:tabs>
          <w:tab w:val="left" w:pos="720"/>
        </w:tabs>
        <w:ind w:left="720" w:right="-90" w:hanging="1800"/>
        <w:rPr>
          <w:sz w:val="20"/>
        </w:rPr>
      </w:pPr>
    </w:p>
    <w:p w:rsidR="009401E3" w:rsidRDefault="009401E3" w:rsidP="00D316FE">
      <w:pPr>
        <w:pStyle w:val="BodyText"/>
        <w:tabs>
          <w:tab w:val="left" w:pos="720"/>
        </w:tabs>
        <w:ind w:left="720" w:right="-90" w:hanging="1800"/>
        <w:rPr>
          <w:sz w:val="20"/>
        </w:rPr>
      </w:pPr>
    </w:p>
    <w:p w:rsidR="0059386B" w:rsidRDefault="0059386B" w:rsidP="006B460C">
      <w:pPr>
        <w:pStyle w:val="BodyText"/>
        <w:tabs>
          <w:tab w:val="left" w:pos="720"/>
        </w:tabs>
        <w:ind w:left="720" w:right="-450" w:hanging="720"/>
        <w:rPr>
          <w:b/>
          <w:sz w:val="20"/>
        </w:rPr>
      </w:pPr>
      <w:r w:rsidRPr="00764F09">
        <w:rPr>
          <w:b/>
          <w:sz w:val="20"/>
        </w:rPr>
        <w:t>B6</w:t>
      </w:r>
      <w:r>
        <w:rPr>
          <w:sz w:val="20"/>
        </w:rPr>
        <w:tab/>
      </w:r>
      <w:r>
        <w:rPr>
          <w:b/>
          <w:sz w:val="20"/>
        </w:rPr>
        <w:t>Profits</w:t>
      </w:r>
      <w:proofErr w:type="gramStart"/>
      <w:r w:rsidR="0020518C">
        <w:rPr>
          <w:b/>
          <w:sz w:val="20"/>
        </w:rPr>
        <w:t>/(</w:t>
      </w:r>
      <w:proofErr w:type="gramEnd"/>
      <w:r w:rsidR="0020518C">
        <w:rPr>
          <w:b/>
          <w:sz w:val="20"/>
        </w:rPr>
        <w:t>losses)</w:t>
      </w:r>
      <w:r>
        <w:rPr>
          <w:b/>
          <w:sz w:val="20"/>
        </w:rPr>
        <w:t xml:space="preserve"> on sale of </w:t>
      </w:r>
      <w:r w:rsidR="008E1D3F">
        <w:rPr>
          <w:b/>
          <w:sz w:val="20"/>
        </w:rPr>
        <w:t xml:space="preserve">unquoted </w:t>
      </w:r>
      <w:r>
        <w:rPr>
          <w:b/>
          <w:sz w:val="20"/>
        </w:rPr>
        <w:t xml:space="preserve">investment </w:t>
      </w:r>
      <w:r w:rsidR="0020518C">
        <w:rPr>
          <w:b/>
          <w:sz w:val="20"/>
        </w:rPr>
        <w:t>a</w:t>
      </w:r>
      <w:r>
        <w:rPr>
          <w:b/>
          <w:sz w:val="20"/>
        </w:rPr>
        <w:t>nd properties</w:t>
      </w:r>
    </w:p>
    <w:p w:rsidR="00B83EBB" w:rsidRDefault="00B83EBB" w:rsidP="00491580">
      <w:pPr>
        <w:pStyle w:val="BodyText"/>
        <w:tabs>
          <w:tab w:val="left" w:pos="720"/>
        </w:tabs>
        <w:ind w:left="720" w:right="-450" w:hanging="1800"/>
        <w:rPr>
          <w:b/>
          <w:sz w:val="20"/>
        </w:rPr>
      </w:pPr>
    </w:p>
    <w:p w:rsidR="00D63649" w:rsidRDefault="0059386B" w:rsidP="00730038">
      <w:pPr>
        <w:pStyle w:val="BodyText"/>
        <w:tabs>
          <w:tab w:val="left" w:pos="720"/>
        </w:tabs>
        <w:ind w:left="720" w:right="-90" w:hanging="1800"/>
        <w:rPr>
          <w:sz w:val="20"/>
        </w:rPr>
      </w:pPr>
      <w:r>
        <w:rPr>
          <w:sz w:val="20"/>
        </w:rPr>
        <w:tab/>
      </w:r>
      <w:r w:rsidR="00546DB2">
        <w:rPr>
          <w:sz w:val="20"/>
        </w:rPr>
        <w:t>There were no sale</w:t>
      </w:r>
      <w:r w:rsidR="0023268C">
        <w:rPr>
          <w:sz w:val="20"/>
        </w:rPr>
        <w:t>s</w:t>
      </w:r>
      <w:r w:rsidR="00546DB2">
        <w:rPr>
          <w:sz w:val="20"/>
        </w:rPr>
        <w:t xml:space="preserve"> of </w:t>
      </w:r>
      <w:r w:rsidR="008E1D3F">
        <w:rPr>
          <w:sz w:val="20"/>
        </w:rPr>
        <w:t>unquoted investment</w:t>
      </w:r>
      <w:r w:rsidR="00546DB2">
        <w:rPr>
          <w:sz w:val="20"/>
        </w:rPr>
        <w:t xml:space="preserve"> or properties during the financial </w:t>
      </w:r>
      <w:r w:rsidR="006F56FC">
        <w:rPr>
          <w:sz w:val="20"/>
        </w:rPr>
        <w:t>quarter</w:t>
      </w:r>
      <w:r w:rsidR="00F512D5">
        <w:rPr>
          <w:sz w:val="20"/>
        </w:rPr>
        <w:t xml:space="preserve"> under review</w:t>
      </w:r>
      <w:r w:rsidR="00730038">
        <w:rPr>
          <w:sz w:val="20"/>
        </w:rPr>
        <w:t>.</w:t>
      </w:r>
      <w:r w:rsidR="00D316FE">
        <w:rPr>
          <w:sz w:val="20"/>
        </w:rPr>
        <w:t xml:space="preserve"> </w:t>
      </w:r>
    </w:p>
    <w:p w:rsidR="00020C9D" w:rsidRDefault="00020C9D" w:rsidP="00730038">
      <w:pPr>
        <w:pStyle w:val="BodyText"/>
        <w:tabs>
          <w:tab w:val="left" w:pos="720"/>
        </w:tabs>
        <w:ind w:left="720" w:right="-90" w:hanging="1800"/>
        <w:rPr>
          <w:sz w:val="20"/>
          <w:highlight w:val="yellow"/>
        </w:rPr>
      </w:pPr>
    </w:p>
    <w:p w:rsidR="00020C9D" w:rsidRDefault="00020C9D" w:rsidP="00730038">
      <w:pPr>
        <w:pStyle w:val="BodyText"/>
        <w:tabs>
          <w:tab w:val="left" w:pos="720"/>
        </w:tabs>
        <w:ind w:left="720" w:right="-90" w:hanging="1800"/>
        <w:rPr>
          <w:sz w:val="20"/>
          <w:highlight w:val="yellow"/>
        </w:rPr>
      </w:pPr>
    </w:p>
    <w:p w:rsidR="0059386B" w:rsidRDefault="00F73DC4" w:rsidP="006B460C">
      <w:pPr>
        <w:pStyle w:val="BodyText"/>
        <w:tabs>
          <w:tab w:val="left" w:pos="720"/>
        </w:tabs>
        <w:ind w:left="720" w:right="-450" w:hanging="720"/>
        <w:rPr>
          <w:b/>
          <w:sz w:val="20"/>
        </w:rPr>
      </w:pPr>
      <w:r w:rsidRPr="00764F09">
        <w:rPr>
          <w:b/>
          <w:sz w:val="20"/>
        </w:rPr>
        <w:t>B</w:t>
      </w:r>
      <w:r w:rsidR="0059386B" w:rsidRPr="00764F09">
        <w:rPr>
          <w:b/>
          <w:sz w:val="20"/>
        </w:rPr>
        <w:t>7</w:t>
      </w:r>
      <w:r w:rsidR="0059386B">
        <w:rPr>
          <w:sz w:val="20"/>
        </w:rPr>
        <w:tab/>
      </w:r>
      <w:r w:rsidR="0059386B" w:rsidRPr="00347C16">
        <w:rPr>
          <w:b/>
          <w:sz w:val="20"/>
        </w:rPr>
        <w:t xml:space="preserve">Quoted </w:t>
      </w:r>
      <w:r w:rsidR="00C66CCC" w:rsidRPr="00347C16">
        <w:rPr>
          <w:b/>
          <w:sz w:val="20"/>
        </w:rPr>
        <w:t>s</w:t>
      </w:r>
      <w:r w:rsidR="0059386B" w:rsidRPr="00347C16">
        <w:rPr>
          <w:b/>
          <w:sz w:val="20"/>
        </w:rPr>
        <w:t>ecurities</w:t>
      </w:r>
    </w:p>
    <w:p w:rsidR="00B949E6" w:rsidRDefault="00B949E6" w:rsidP="00491580">
      <w:pPr>
        <w:pStyle w:val="BodyText"/>
        <w:tabs>
          <w:tab w:val="left" w:pos="720"/>
        </w:tabs>
        <w:ind w:left="720" w:right="-450" w:hanging="1800"/>
        <w:rPr>
          <w:sz w:val="20"/>
        </w:rPr>
      </w:pPr>
    </w:p>
    <w:p w:rsidR="001333A8" w:rsidRDefault="0059386B" w:rsidP="00491580">
      <w:pPr>
        <w:pStyle w:val="BodyText"/>
        <w:tabs>
          <w:tab w:val="left" w:pos="720"/>
        </w:tabs>
        <w:ind w:left="720" w:right="-450" w:hanging="1800"/>
        <w:rPr>
          <w:sz w:val="20"/>
        </w:rPr>
      </w:pPr>
      <w:r>
        <w:rPr>
          <w:sz w:val="20"/>
        </w:rPr>
        <w:tab/>
      </w:r>
      <w:r w:rsidR="001333A8">
        <w:rPr>
          <w:sz w:val="20"/>
        </w:rPr>
        <w:t>The</w:t>
      </w:r>
      <w:r w:rsidR="00F34808">
        <w:rPr>
          <w:sz w:val="20"/>
        </w:rPr>
        <w:t>re were no</w:t>
      </w:r>
      <w:r w:rsidR="001333A8">
        <w:rPr>
          <w:sz w:val="20"/>
        </w:rPr>
        <w:t xml:space="preserve"> dealings in quoted securities for the current financial </w:t>
      </w:r>
      <w:r w:rsidR="00592818">
        <w:rPr>
          <w:sz w:val="20"/>
        </w:rPr>
        <w:t>quarter</w:t>
      </w:r>
      <w:r w:rsidR="00F34808">
        <w:rPr>
          <w:sz w:val="20"/>
        </w:rPr>
        <w:t>.</w:t>
      </w:r>
    </w:p>
    <w:p w:rsidR="0082194F" w:rsidRDefault="001333A8" w:rsidP="00491580">
      <w:pPr>
        <w:pStyle w:val="BodyText"/>
        <w:tabs>
          <w:tab w:val="left" w:pos="720"/>
        </w:tabs>
        <w:ind w:left="720" w:right="-450" w:hanging="1800"/>
        <w:rPr>
          <w:b/>
          <w:sz w:val="20"/>
        </w:rPr>
      </w:pPr>
      <w:r>
        <w:rPr>
          <w:b/>
          <w:sz w:val="20"/>
        </w:rPr>
        <w:tab/>
      </w:r>
    </w:p>
    <w:p w:rsidR="001C7AB9" w:rsidRDefault="001C7AB9" w:rsidP="00491580">
      <w:pPr>
        <w:pStyle w:val="BodyText"/>
        <w:tabs>
          <w:tab w:val="left" w:pos="720"/>
        </w:tabs>
        <w:ind w:left="720" w:right="-450" w:hanging="1800"/>
        <w:rPr>
          <w:sz w:val="20"/>
        </w:rPr>
      </w:pPr>
      <w:r>
        <w:rPr>
          <w:sz w:val="20"/>
        </w:rPr>
        <w:tab/>
        <w:t xml:space="preserve">Total investments in quoted securities as at </w:t>
      </w:r>
      <w:r w:rsidR="00E709F4">
        <w:rPr>
          <w:sz w:val="20"/>
        </w:rPr>
        <w:t>3</w:t>
      </w:r>
      <w:r w:rsidR="003B033B">
        <w:rPr>
          <w:sz w:val="20"/>
        </w:rPr>
        <w:t>0</w:t>
      </w:r>
      <w:r w:rsidR="00DA757A">
        <w:rPr>
          <w:sz w:val="20"/>
        </w:rPr>
        <w:t xml:space="preserve"> </w:t>
      </w:r>
      <w:r w:rsidR="003B033B">
        <w:rPr>
          <w:sz w:val="20"/>
        </w:rPr>
        <w:t>June</w:t>
      </w:r>
      <w:r>
        <w:rPr>
          <w:sz w:val="20"/>
        </w:rPr>
        <w:t xml:space="preserve"> 20</w:t>
      </w:r>
      <w:r w:rsidR="00DA757A">
        <w:rPr>
          <w:sz w:val="20"/>
        </w:rPr>
        <w:t>1</w:t>
      </w:r>
      <w:r w:rsidR="00C135B3">
        <w:rPr>
          <w:sz w:val="20"/>
        </w:rPr>
        <w:t>2</w:t>
      </w:r>
      <w:r>
        <w:rPr>
          <w:sz w:val="20"/>
        </w:rPr>
        <w:t xml:space="preserve"> were as follows:-</w:t>
      </w:r>
    </w:p>
    <w:p w:rsidR="001C7AB9" w:rsidRDefault="001C7AB9" w:rsidP="00491580">
      <w:pPr>
        <w:pStyle w:val="BodyText"/>
        <w:tabs>
          <w:tab w:val="left" w:pos="720"/>
        </w:tabs>
        <w:ind w:left="720" w:right="-450" w:hanging="1800"/>
        <w:rPr>
          <w:sz w:val="20"/>
        </w:rPr>
      </w:pPr>
      <w:r>
        <w:rPr>
          <w:sz w:val="20"/>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40"/>
        <w:gridCol w:w="1530"/>
        <w:gridCol w:w="1530"/>
      </w:tblGrid>
      <w:tr w:rsidR="00E46B49" w:rsidRPr="00CD37D1">
        <w:tc>
          <w:tcPr>
            <w:tcW w:w="630" w:type="dxa"/>
          </w:tcPr>
          <w:p w:rsidR="00E46B49" w:rsidRDefault="00E46B49" w:rsidP="006B460C">
            <w:pPr>
              <w:pStyle w:val="BodyText"/>
              <w:tabs>
                <w:tab w:val="left" w:pos="720"/>
              </w:tabs>
              <w:ind w:right="-450" w:hanging="108"/>
              <w:rPr>
                <w:sz w:val="20"/>
              </w:rPr>
            </w:pPr>
          </w:p>
        </w:tc>
        <w:tc>
          <w:tcPr>
            <w:tcW w:w="4140" w:type="dxa"/>
          </w:tcPr>
          <w:p w:rsidR="00E46B49" w:rsidRDefault="00E46B49" w:rsidP="006B460C">
            <w:pPr>
              <w:pStyle w:val="BodyText"/>
              <w:tabs>
                <w:tab w:val="left" w:pos="720"/>
              </w:tabs>
              <w:ind w:right="-450" w:hanging="108"/>
              <w:rPr>
                <w:sz w:val="20"/>
              </w:rPr>
            </w:pPr>
          </w:p>
        </w:tc>
        <w:tc>
          <w:tcPr>
            <w:tcW w:w="1530" w:type="dxa"/>
          </w:tcPr>
          <w:p w:rsidR="006B460C" w:rsidRDefault="00E46B49" w:rsidP="006B460C">
            <w:pPr>
              <w:pStyle w:val="BodyText"/>
              <w:tabs>
                <w:tab w:val="left" w:pos="720"/>
              </w:tabs>
              <w:ind w:left="-108" w:right="-108"/>
              <w:jc w:val="center"/>
              <w:rPr>
                <w:b/>
                <w:sz w:val="18"/>
              </w:rPr>
            </w:pPr>
            <w:r w:rsidRPr="00CD37D1">
              <w:rPr>
                <w:b/>
                <w:sz w:val="18"/>
              </w:rPr>
              <w:t xml:space="preserve">Quoted </w:t>
            </w:r>
            <w:r>
              <w:rPr>
                <w:b/>
                <w:sz w:val="18"/>
              </w:rPr>
              <w:t>in</w:t>
            </w:r>
            <w:r w:rsidRPr="00CD37D1">
              <w:rPr>
                <w:b/>
                <w:sz w:val="18"/>
              </w:rPr>
              <w:t xml:space="preserve"> </w:t>
            </w:r>
          </w:p>
          <w:p w:rsidR="00E46B49" w:rsidRPr="00CD37D1" w:rsidRDefault="00E46B49" w:rsidP="006B460C">
            <w:pPr>
              <w:pStyle w:val="BodyText"/>
              <w:tabs>
                <w:tab w:val="left" w:pos="720"/>
              </w:tabs>
              <w:ind w:left="-108" w:right="-108"/>
              <w:jc w:val="center"/>
              <w:rPr>
                <w:b/>
                <w:sz w:val="18"/>
              </w:rPr>
            </w:pPr>
            <w:r w:rsidRPr="00CD37D1">
              <w:rPr>
                <w:b/>
                <w:sz w:val="18"/>
              </w:rPr>
              <w:t>Malaysia</w:t>
            </w:r>
          </w:p>
          <w:p w:rsidR="00E46B49" w:rsidRPr="00CD37D1" w:rsidRDefault="00E46B49" w:rsidP="006B460C">
            <w:pPr>
              <w:pStyle w:val="BodyText"/>
              <w:tabs>
                <w:tab w:val="left" w:pos="720"/>
              </w:tabs>
              <w:ind w:left="-108" w:right="-108"/>
              <w:jc w:val="center"/>
              <w:rPr>
                <w:sz w:val="18"/>
              </w:rPr>
            </w:pPr>
            <w:r w:rsidRPr="00CD37D1">
              <w:rPr>
                <w:b/>
                <w:sz w:val="18"/>
              </w:rPr>
              <w:t>RM’000</w:t>
            </w:r>
          </w:p>
        </w:tc>
        <w:tc>
          <w:tcPr>
            <w:tcW w:w="1530" w:type="dxa"/>
          </w:tcPr>
          <w:p w:rsidR="00E46B49" w:rsidRPr="00CD37D1" w:rsidRDefault="00E46B49" w:rsidP="006B460C">
            <w:pPr>
              <w:pStyle w:val="BodyText"/>
              <w:tabs>
                <w:tab w:val="left" w:pos="720"/>
              </w:tabs>
              <w:ind w:left="-108" w:right="-108" w:hanging="108"/>
              <w:jc w:val="center"/>
              <w:rPr>
                <w:b/>
                <w:sz w:val="18"/>
              </w:rPr>
            </w:pPr>
            <w:r w:rsidRPr="00CD37D1">
              <w:rPr>
                <w:b/>
                <w:sz w:val="18"/>
              </w:rPr>
              <w:t>Quoted outside Malaysia</w:t>
            </w:r>
          </w:p>
          <w:p w:rsidR="00E46B49" w:rsidRPr="00CD37D1" w:rsidRDefault="00E46B49" w:rsidP="006B460C">
            <w:pPr>
              <w:pStyle w:val="BodyText"/>
              <w:tabs>
                <w:tab w:val="left" w:pos="720"/>
              </w:tabs>
              <w:ind w:left="-108" w:right="-108" w:hanging="108"/>
              <w:jc w:val="center"/>
              <w:rPr>
                <w:sz w:val="18"/>
              </w:rPr>
            </w:pPr>
            <w:r w:rsidRPr="00CD37D1">
              <w:rPr>
                <w:b/>
                <w:sz w:val="18"/>
              </w:rPr>
              <w:t>RM’000</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w:t>
            </w:r>
            <w:proofErr w:type="spellStart"/>
            <w:r w:rsidRPr="00CD37D1">
              <w:rPr>
                <w:sz w:val="20"/>
              </w:rPr>
              <w:t>i</w:t>
            </w:r>
            <w:proofErr w:type="spellEnd"/>
            <w:r w:rsidRPr="00CD37D1">
              <w:rPr>
                <w:sz w:val="20"/>
              </w:rPr>
              <w:t>)</w:t>
            </w:r>
          </w:p>
        </w:tc>
        <w:tc>
          <w:tcPr>
            <w:tcW w:w="4140" w:type="dxa"/>
          </w:tcPr>
          <w:p w:rsidR="00E46B49" w:rsidRPr="00CD37D1" w:rsidRDefault="00E46B49" w:rsidP="006B460C">
            <w:pPr>
              <w:pStyle w:val="BodyText"/>
              <w:tabs>
                <w:tab w:val="left" w:pos="720"/>
              </w:tabs>
              <w:ind w:right="-450" w:hanging="108"/>
              <w:rPr>
                <w:sz w:val="20"/>
              </w:rPr>
            </w:pPr>
            <w:r w:rsidRPr="00CD37D1">
              <w:rPr>
                <w:sz w:val="20"/>
              </w:rPr>
              <w:t xml:space="preserve">Cost </w:t>
            </w:r>
          </w:p>
          <w:p w:rsidR="00E46B49" w:rsidRPr="00CD37D1" w:rsidRDefault="00E46B49" w:rsidP="006B460C">
            <w:pPr>
              <w:pStyle w:val="BodyText"/>
              <w:tabs>
                <w:tab w:val="left" w:pos="720"/>
              </w:tabs>
              <w:ind w:right="-450" w:hanging="108"/>
              <w:rPr>
                <w:sz w:val="20"/>
              </w:rPr>
            </w:pPr>
            <w:r w:rsidRPr="00CD37D1">
              <w:rPr>
                <w:sz w:val="20"/>
              </w:rPr>
              <w:t xml:space="preserve">Provision for diminution in value </w:t>
            </w:r>
          </w:p>
        </w:tc>
        <w:tc>
          <w:tcPr>
            <w:tcW w:w="1530" w:type="dxa"/>
          </w:tcPr>
          <w:p w:rsidR="00E46B49" w:rsidRPr="009901E5" w:rsidRDefault="003403D6" w:rsidP="006B460C">
            <w:pPr>
              <w:pStyle w:val="BodyText"/>
              <w:tabs>
                <w:tab w:val="left" w:pos="720"/>
              </w:tabs>
              <w:ind w:left="-108" w:right="-108"/>
              <w:jc w:val="center"/>
              <w:rPr>
                <w:spacing w:val="6"/>
                <w:sz w:val="20"/>
              </w:rPr>
            </w:pPr>
            <w:r w:rsidRPr="009901E5">
              <w:rPr>
                <w:spacing w:val="6"/>
                <w:sz w:val="20"/>
              </w:rPr>
              <w:t xml:space="preserve"> </w:t>
            </w:r>
            <w:r w:rsidR="00E46B49" w:rsidRPr="009901E5">
              <w:rPr>
                <w:spacing w:val="6"/>
                <w:sz w:val="20"/>
              </w:rPr>
              <w:t>29</w:t>
            </w:r>
          </w:p>
          <w:p w:rsidR="00E46B49" w:rsidRPr="009901E5" w:rsidRDefault="00DE4C43" w:rsidP="00DE4C43">
            <w:pPr>
              <w:pStyle w:val="BodyText"/>
              <w:tabs>
                <w:tab w:val="left" w:pos="720"/>
              </w:tabs>
              <w:ind w:left="-108" w:right="-108"/>
              <w:jc w:val="center"/>
              <w:rPr>
                <w:spacing w:val="6"/>
                <w:sz w:val="20"/>
              </w:rPr>
            </w:pPr>
            <w:r w:rsidRPr="009901E5">
              <w:rPr>
                <w:spacing w:val="6"/>
                <w:sz w:val="20"/>
              </w:rPr>
              <w:t xml:space="preserve"> </w:t>
            </w:r>
            <w:r w:rsidR="009901E5" w:rsidRPr="009901E5">
              <w:rPr>
                <w:spacing w:val="6"/>
                <w:sz w:val="20"/>
              </w:rPr>
              <w:t>(14</w:t>
            </w:r>
            <w:r w:rsidR="00E46B49" w:rsidRPr="009901E5">
              <w:rPr>
                <w:spacing w:val="6"/>
                <w:sz w:val="20"/>
              </w:rPr>
              <w:t>)</w:t>
            </w:r>
          </w:p>
        </w:tc>
        <w:tc>
          <w:tcPr>
            <w:tcW w:w="1530" w:type="dxa"/>
          </w:tcPr>
          <w:p w:rsidR="00E46B49" w:rsidRPr="009901E5" w:rsidRDefault="00E111E3" w:rsidP="006B460C">
            <w:pPr>
              <w:pStyle w:val="BodyText"/>
              <w:tabs>
                <w:tab w:val="left" w:pos="720"/>
              </w:tabs>
              <w:ind w:left="-108" w:right="-108" w:hanging="108"/>
              <w:jc w:val="center"/>
              <w:rPr>
                <w:spacing w:val="6"/>
                <w:sz w:val="20"/>
              </w:rPr>
            </w:pPr>
            <w:r>
              <w:rPr>
                <w:spacing w:val="6"/>
                <w:sz w:val="20"/>
              </w:rPr>
              <w:t>6,427</w:t>
            </w:r>
          </w:p>
          <w:p w:rsidR="00E46B49" w:rsidRPr="009901E5" w:rsidRDefault="003F45A3" w:rsidP="00C3747A">
            <w:pPr>
              <w:pStyle w:val="BodyText"/>
              <w:tabs>
                <w:tab w:val="left" w:pos="720"/>
              </w:tabs>
              <w:ind w:left="-108" w:right="-108" w:hanging="108"/>
              <w:jc w:val="center"/>
              <w:rPr>
                <w:spacing w:val="6"/>
                <w:sz w:val="20"/>
              </w:rPr>
            </w:pPr>
            <w:r w:rsidRPr="009901E5">
              <w:rPr>
                <w:spacing w:val="6"/>
                <w:sz w:val="20"/>
              </w:rPr>
              <w:t xml:space="preserve">  </w:t>
            </w:r>
            <w:r w:rsidR="004017FB" w:rsidRPr="009901E5">
              <w:rPr>
                <w:spacing w:val="6"/>
                <w:sz w:val="20"/>
              </w:rPr>
              <w:t>-</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Net book value</w:t>
            </w:r>
          </w:p>
        </w:tc>
        <w:tc>
          <w:tcPr>
            <w:tcW w:w="1530" w:type="dxa"/>
          </w:tcPr>
          <w:p w:rsidR="00E46B49" w:rsidRPr="009901E5" w:rsidRDefault="00B067E0" w:rsidP="00C135B3">
            <w:pPr>
              <w:pStyle w:val="BodyText"/>
              <w:tabs>
                <w:tab w:val="left" w:pos="720"/>
              </w:tabs>
              <w:ind w:left="-108" w:right="-108"/>
              <w:jc w:val="center"/>
              <w:rPr>
                <w:spacing w:val="6"/>
                <w:sz w:val="20"/>
              </w:rPr>
            </w:pPr>
            <w:r w:rsidRPr="009901E5">
              <w:rPr>
                <w:spacing w:val="6"/>
                <w:sz w:val="20"/>
              </w:rPr>
              <w:t xml:space="preserve"> </w:t>
            </w:r>
            <w:r w:rsidR="00C135B3" w:rsidRPr="009901E5">
              <w:rPr>
                <w:spacing w:val="6"/>
                <w:sz w:val="20"/>
              </w:rPr>
              <w:t>1</w:t>
            </w:r>
            <w:r w:rsidR="009901E5" w:rsidRPr="009901E5">
              <w:rPr>
                <w:spacing w:val="6"/>
                <w:sz w:val="20"/>
              </w:rPr>
              <w:t>5</w:t>
            </w:r>
          </w:p>
        </w:tc>
        <w:tc>
          <w:tcPr>
            <w:tcW w:w="1530" w:type="dxa"/>
          </w:tcPr>
          <w:p w:rsidR="00E46B49" w:rsidRPr="009901E5" w:rsidRDefault="00E111E3" w:rsidP="00C135B3">
            <w:pPr>
              <w:pStyle w:val="BodyText"/>
              <w:tabs>
                <w:tab w:val="left" w:pos="720"/>
              </w:tabs>
              <w:ind w:left="-108" w:right="-108" w:hanging="108"/>
              <w:jc w:val="center"/>
              <w:rPr>
                <w:spacing w:val="6"/>
                <w:sz w:val="20"/>
              </w:rPr>
            </w:pPr>
            <w:r>
              <w:rPr>
                <w:spacing w:val="6"/>
                <w:sz w:val="20"/>
              </w:rPr>
              <w:t>6,427</w:t>
            </w:r>
          </w:p>
        </w:tc>
      </w:tr>
      <w:tr w:rsidR="00DE4C43">
        <w:trPr>
          <w:trHeight w:val="233"/>
        </w:trPr>
        <w:tc>
          <w:tcPr>
            <w:tcW w:w="630" w:type="dxa"/>
          </w:tcPr>
          <w:p w:rsidR="00DE4C43" w:rsidRPr="00CD37D1" w:rsidRDefault="00DE4C43" w:rsidP="006B460C">
            <w:pPr>
              <w:pStyle w:val="BodyText"/>
              <w:tabs>
                <w:tab w:val="left" w:pos="720"/>
              </w:tabs>
              <w:ind w:right="-450" w:hanging="108"/>
              <w:rPr>
                <w:sz w:val="20"/>
              </w:rPr>
            </w:pPr>
            <w:r w:rsidRPr="00CD37D1">
              <w:rPr>
                <w:sz w:val="20"/>
              </w:rPr>
              <w:t>(iii)</w:t>
            </w:r>
          </w:p>
        </w:tc>
        <w:tc>
          <w:tcPr>
            <w:tcW w:w="4140" w:type="dxa"/>
          </w:tcPr>
          <w:p w:rsidR="00DE4C43" w:rsidRPr="00CD37D1" w:rsidRDefault="00DE4C43" w:rsidP="006B460C">
            <w:pPr>
              <w:pStyle w:val="BodyText"/>
              <w:tabs>
                <w:tab w:val="left" w:pos="720"/>
              </w:tabs>
              <w:ind w:right="-450" w:hanging="108"/>
              <w:rPr>
                <w:sz w:val="20"/>
              </w:rPr>
            </w:pPr>
            <w:r w:rsidRPr="00CD37D1">
              <w:rPr>
                <w:sz w:val="20"/>
              </w:rPr>
              <w:t>Market value</w:t>
            </w:r>
          </w:p>
        </w:tc>
        <w:tc>
          <w:tcPr>
            <w:tcW w:w="1530" w:type="dxa"/>
          </w:tcPr>
          <w:p w:rsidR="00DE4C43" w:rsidRPr="009901E5" w:rsidRDefault="00DE4C43" w:rsidP="006B460C">
            <w:pPr>
              <w:pStyle w:val="BodyText"/>
              <w:tabs>
                <w:tab w:val="left" w:pos="720"/>
              </w:tabs>
              <w:ind w:left="-108" w:right="-108"/>
              <w:jc w:val="center"/>
              <w:rPr>
                <w:sz w:val="20"/>
              </w:rPr>
            </w:pPr>
            <w:r w:rsidRPr="009901E5">
              <w:rPr>
                <w:sz w:val="20"/>
              </w:rPr>
              <w:t xml:space="preserve"> </w:t>
            </w:r>
            <w:r w:rsidR="00C135B3" w:rsidRPr="009901E5">
              <w:rPr>
                <w:sz w:val="20"/>
              </w:rPr>
              <w:t>1</w:t>
            </w:r>
            <w:r w:rsidR="009901E5" w:rsidRPr="009901E5">
              <w:rPr>
                <w:sz w:val="20"/>
              </w:rPr>
              <w:t>5</w:t>
            </w:r>
          </w:p>
        </w:tc>
        <w:tc>
          <w:tcPr>
            <w:tcW w:w="1530" w:type="dxa"/>
          </w:tcPr>
          <w:p w:rsidR="00DE4C43" w:rsidRPr="009901E5" w:rsidRDefault="00227441" w:rsidP="00C135B3">
            <w:pPr>
              <w:pStyle w:val="BodyText"/>
              <w:tabs>
                <w:tab w:val="left" w:pos="720"/>
              </w:tabs>
              <w:ind w:left="-108" w:right="-108" w:hanging="108"/>
              <w:jc w:val="center"/>
              <w:rPr>
                <w:spacing w:val="6"/>
                <w:sz w:val="20"/>
              </w:rPr>
            </w:pPr>
            <w:r>
              <w:rPr>
                <w:spacing w:val="6"/>
                <w:sz w:val="20"/>
              </w:rPr>
              <w:t>6,427</w:t>
            </w:r>
          </w:p>
        </w:tc>
      </w:tr>
    </w:tbl>
    <w:p w:rsidR="00F25806" w:rsidRDefault="00F25806" w:rsidP="006B460C">
      <w:pPr>
        <w:pStyle w:val="BodyText"/>
        <w:tabs>
          <w:tab w:val="left" w:pos="720"/>
        </w:tabs>
        <w:ind w:left="720" w:right="-450" w:hanging="720"/>
        <w:rPr>
          <w:b/>
          <w:sz w:val="20"/>
        </w:rPr>
      </w:pPr>
    </w:p>
    <w:p w:rsidR="0059386B" w:rsidRDefault="0059386B" w:rsidP="006B460C">
      <w:pPr>
        <w:pStyle w:val="BodyText"/>
        <w:tabs>
          <w:tab w:val="left" w:pos="720"/>
        </w:tabs>
        <w:ind w:left="720" w:right="-450" w:hanging="720"/>
        <w:rPr>
          <w:b/>
          <w:sz w:val="20"/>
        </w:rPr>
      </w:pPr>
      <w:r w:rsidRPr="00764F09">
        <w:rPr>
          <w:b/>
          <w:sz w:val="20"/>
        </w:rPr>
        <w:t>B8</w:t>
      </w:r>
      <w:r>
        <w:rPr>
          <w:sz w:val="20"/>
        </w:rPr>
        <w:tab/>
      </w:r>
      <w:r w:rsidRPr="00BB62D1">
        <w:rPr>
          <w:b/>
          <w:sz w:val="20"/>
        </w:rPr>
        <w:t>Status of corporate proposals</w:t>
      </w:r>
      <w:r w:rsidR="00FC2C5F" w:rsidRPr="00BB62D1">
        <w:rPr>
          <w:b/>
          <w:sz w:val="20"/>
        </w:rPr>
        <w:t xml:space="preserve"> </w:t>
      </w:r>
    </w:p>
    <w:p w:rsidR="00AE528B" w:rsidRDefault="00AE528B" w:rsidP="00491580">
      <w:pPr>
        <w:pStyle w:val="ListParagraph"/>
        <w:ind w:right="-450" w:hanging="1800"/>
        <w:jc w:val="both"/>
        <w:rPr>
          <w:b/>
          <w:snapToGrid w:val="0"/>
          <w:color w:val="000000"/>
        </w:rPr>
      </w:pPr>
    </w:p>
    <w:p w:rsidR="000055A6" w:rsidRDefault="000055A6" w:rsidP="000055A6">
      <w:pPr>
        <w:pStyle w:val="listparagraph0"/>
        <w:jc w:val="both"/>
      </w:pPr>
      <w:r w:rsidRPr="000055A6">
        <w:t>A wholly owned subsidiary, Carpenters Properties Limited had entered into a Sale and Purchase Agreement</w:t>
      </w:r>
      <w:r w:rsidRPr="000055A6">
        <w:rPr>
          <w:rStyle w:val="Strong"/>
        </w:rPr>
        <w:t xml:space="preserve"> </w:t>
      </w:r>
      <w:r w:rsidRPr="000055A6">
        <w:t xml:space="preserve">to acquire the 100% share interest in Watson Brothers Limited, a property holding company from Messrs Robin Watson and David </w:t>
      </w:r>
      <w:proofErr w:type="spellStart"/>
      <w:r w:rsidRPr="000055A6">
        <w:t>Zundel</w:t>
      </w:r>
      <w:proofErr w:type="spellEnd"/>
      <w:r w:rsidRPr="000055A6">
        <w:t xml:space="preserve"> on 7</w:t>
      </w:r>
      <w:r w:rsidR="00DA2FA8" w:rsidRPr="00DA2FA8">
        <w:rPr>
          <w:vertAlign w:val="superscript"/>
        </w:rPr>
        <w:t>th</w:t>
      </w:r>
      <w:r w:rsidRPr="000055A6">
        <w:t xml:space="preserve"> January 2006. The matter fell into dispute due to an income tax implication to the vendors from this transaction and as a result the matter</w:t>
      </w:r>
      <w:r>
        <w:t> </w:t>
      </w:r>
      <w:r w:rsidRPr="000055A6">
        <w:t>was referred to Arbitration as provided in the Sale and Purchase Agreement.</w:t>
      </w:r>
      <w:r>
        <w:t xml:space="preserve">  </w:t>
      </w:r>
      <w:r w:rsidR="009F3412">
        <w:t>On 4</w:t>
      </w:r>
      <w:r w:rsidR="00DA2FA8" w:rsidRPr="00DA2FA8">
        <w:rPr>
          <w:vertAlign w:val="superscript"/>
        </w:rPr>
        <w:t>th</w:t>
      </w:r>
      <w:r w:rsidR="009F3412">
        <w:t xml:space="preserve"> September 2009, t</w:t>
      </w:r>
      <w:r w:rsidRPr="000055A6">
        <w:t xml:space="preserve">he Arbitrator ruled for specific performance of the Sale and Purchase Agreement in </w:t>
      </w:r>
      <w:proofErr w:type="spellStart"/>
      <w:r w:rsidRPr="000055A6">
        <w:t>favour</w:t>
      </w:r>
      <w:proofErr w:type="spellEnd"/>
      <w:r w:rsidRPr="000055A6">
        <w:t xml:space="preserve"> of Carpenters Properties Limited. The m</w:t>
      </w:r>
      <w:r w:rsidR="00AD1A80">
        <w:t>atter is still before the Arbit</w:t>
      </w:r>
      <w:r w:rsidRPr="000055A6">
        <w:t>rator and pending further directions and continuation of hearing.</w:t>
      </w:r>
    </w:p>
    <w:p w:rsidR="00114BF6" w:rsidRDefault="00114BF6" w:rsidP="000055A6">
      <w:pPr>
        <w:pStyle w:val="listparagraph0"/>
        <w:jc w:val="both"/>
      </w:pPr>
    </w:p>
    <w:p w:rsidR="00A802F8" w:rsidRDefault="00A802F8" w:rsidP="000055A6">
      <w:pPr>
        <w:pStyle w:val="listparagraph0"/>
        <w:jc w:val="both"/>
      </w:pPr>
    </w:p>
    <w:p w:rsidR="0059386B" w:rsidRDefault="0059386B" w:rsidP="006B460C">
      <w:pPr>
        <w:pStyle w:val="BodyText"/>
        <w:tabs>
          <w:tab w:val="left" w:pos="360"/>
          <w:tab w:val="left" w:pos="540"/>
          <w:tab w:val="left" w:pos="630"/>
          <w:tab w:val="left" w:pos="720"/>
          <w:tab w:val="left" w:pos="810"/>
        </w:tabs>
        <w:ind w:left="720" w:right="-450" w:hanging="720"/>
        <w:rPr>
          <w:b/>
          <w:sz w:val="20"/>
        </w:rPr>
      </w:pPr>
      <w:r w:rsidRPr="00764F09">
        <w:rPr>
          <w:b/>
          <w:sz w:val="20"/>
        </w:rPr>
        <w:t>B9</w:t>
      </w:r>
      <w:r>
        <w:rPr>
          <w:sz w:val="20"/>
        </w:rPr>
        <w:tab/>
      </w:r>
      <w:r>
        <w:rPr>
          <w:sz w:val="20"/>
        </w:rPr>
        <w:tab/>
      </w:r>
      <w:r>
        <w:rPr>
          <w:sz w:val="20"/>
        </w:rPr>
        <w:tab/>
      </w:r>
      <w:r>
        <w:rPr>
          <w:sz w:val="20"/>
        </w:rPr>
        <w:tab/>
      </w:r>
      <w:r>
        <w:rPr>
          <w:b/>
          <w:sz w:val="20"/>
        </w:rPr>
        <w:t>Group borrowings</w:t>
      </w:r>
    </w:p>
    <w:p w:rsidR="0059386B" w:rsidRDefault="0059386B" w:rsidP="00491580">
      <w:pPr>
        <w:pStyle w:val="BodyText"/>
        <w:tabs>
          <w:tab w:val="left" w:pos="360"/>
          <w:tab w:val="left" w:pos="540"/>
          <w:tab w:val="left" w:pos="630"/>
          <w:tab w:val="left" w:pos="720"/>
          <w:tab w:val="left" w:pos="810"/>
        </w:tabs>
        <w:ind w:left="720" w:right="-450" w:hanging="1800"/>
        <w:rPr>
          <w:b/>
          <w:sz w:val="20"/>
        </w:rPr>
      </w:pPr>
    </w:p>
    <w:p w:rsidR="0059386B" w:rsidRDefault="0059386B" w:rsidP="006B460C">
      <w:pPr>
        <w:pStyle w:val="BodyText"/>
        <w:numPr>
          <w:ilvl w:val="0"/>
          <w:numId w:val="1"/>
        </w:numPr>
        <w:tabs>
          <w:tab w:val="left" w:pos="360"/>
          <w:tab w:val="left" w:pos="540"/>
          <w:tab w:val="left" w:pos="630"/>
        </w:tabs>
        <w:ind w:left="810" w:right="-450"/>
        <w:rPr>
          <w:b/>
          <w:sz w:val="20"/>
        </w:rPr>
      </w:pPr>
      <w:r>
        <w:rPr>
          <w:b/>
          <w:sz w:val="20"/>
        </w:rPr>
        <w:t xml:space="preserve">Redeemable Convertible Secured Loan Stocks ("RCSLS") And Secured Bonds </w:t>
      </w:r>
    </w:p>
    <w:p w:rsidR="0059386B" w:rsidRDefault="0059386B" w:rsidP="00491580">
      <w:pPr>
        <w:pStyle w:val="BodyText"/>
        <w:tabs>
          <w:tab w:val="left" w:pos="360"/>
          <w:tab w:val="left" w:pos="540"/>
          <w:tab w:val="left" w:pos="630"/>
        </w:tabs>
        <w:ind w:right="-450" w:hanging="1800"/>
        <w:rPr>
          <w:b/>
          <w:sz w:val="20"/>
        </w:rPr>
      </w:pPr>
      <w:r>
        <w:rPr>
          <w:b/>
          <w:sz w:val="20"/>
        </w:rPr>
        <w:tab/>
      </w:r>
      <w:r>
        <w:rPr>
          <w:b/>
          <w:sz w:val="20"/>
        </w:rPr>
        <w:tab/>
      </w:r>
      <w:r>
        <w:rPr>
          <w:b/>
          <w:sz w:val="20"/>
        </w:rPr>
        <w:tab/>
      </w:r>
      <w:r>
        <w:rPr>
          <w:b/>
          <w:sz w:val="20"/>
        </w:rPr>
        <w:tab/>
        <w:t xml:space="preserve">  </w:t>
      </w:r>
    </w:p>
    <w:tbl>
      <w:tblPr>
        <w:tblW w:w="0" w:type="auto"/>
        <w:tblInd w:w="1188" w:type="dxa"/>
        <w:tblLayout w:type="fixed"/>
        <w:tblLook w:val="0000"/>
      </w:tblPr>
      <w:tblGrid>
        <w:gridCol w:w="5670"/>
        <w:gridCol w:w="1440"/>
      </w:tblGrid>
      <w:tr w:rsidR="0059386B" w:rsidRPr="00E00805">
        <w:tc>
          <w:tcPr>
            <w:tcW w:w="5670" w:type="dxa"/>
          </w:tcPr>
          <w:p w:rsidR="0059386B" w:rsidRDefault="0059386B" w:rsidP="006B460C">
            <w:pPr>
              <w:pStyle w:val="BodyText"/>
              <w:tabs>
                <w:tab w:val="left" w:pos="360"/>
                <w:tab w:val="left" w:pos="540"/>
                <w:tab w:val="left" w:pos="630"/>
                <w:tab w:val="left" w:pos="810"/>
              </w:tabs>
              <w:ind w:right="-108" w:hanging="108"/>
              <w:rPr>
                <w:b/>
                <w:sz w:val="20"/>
              </w:rPr>
            </w:pPr>
          </w:p>
        </w:tc>
        <w:tc>
          <w:tcPr>
            <w:tcW w:w="1440" w:type="dxa"/>
          </w:tcPr>
          <w:p w:rsidR="0059386B" w:rsidRPr="003915A6" w:rsidRDefault="0059386B" w:rsidP="006B460C">
            <w:pPr>
              <w:pStyle w:val="BodyText"/>
              <w:tabs>
                <w:tab w:val="left" w:pos="360"/>
                <w:tab w:val="left" w:pos="540"/>
                <w:tab w:val="left" w:pos="630"/>
                <w:tab w:val="left" w:pos="810"/>
              </w:tabs>
              <w:ind w:right="-108" w:hanging="108"/>
              <w:jc w:val="center"/>
              <w:rPr>
                <w:b/>
                <w:sz w:val="20"/>
              </w:rPr>
            </w:pPr>
            <w:r w:rsidRPr="003915A6">
              <w:rPr>
                <w:b/>
                <w:sz w:val="20"/>
              </w:rPr>
              <w:t>RM’000</w:t>
            </w:r>
          </w:p>
        </w:tc>
      </w:tr>
      <w:tr w:rsidR="0059386B" w:rsidRPr="00E00805">
        <w:tc>
          <w:tcPr>
            <w:tcW w:w="5670" w:type="dxa"/>
          </w:tcPr>
          <w:p w:rsidR="0059386B" w:rsidRPr="00E00805" w:rsidRDefault="00A00682" w:rsidP="006B460C">
            <w:pPr>
              <w:pStyle w:val="BodyText"/>
              <w:tabs>
                <w:tab w:val="left" w:pos="360"/>
                <w:tab w:val="left" w:pos="540"/>
                <w:tab w:val="left" w:pos="630"/>
                <w:tab w:val="left" w:pos="810"/>
              </w:tabs>
              <w:ind w:right="-108" w:hanging="108"/>
              <w:rPr>
                <w:sz w:val="20"/>
              </w:rPr>
            </w:pPr>
            <w:r w:rsidRPr="00E00805">
              <w:rPr>
                <w:sz w:val="20"/>
              </w:rPr>
              <w:t>RCSLS A (USD19,236,664</w:t>
            </w:r>
            <w:r w:rsidR="0059386B" w:rsidRPr="00E00805">
              <w:rPr>
                <w:sz w:val="20"/>
              </w:rPr>
              <w:t>)</w:t>
            </w:r>
          </w:p>
        </w:tc>
        <w:tc>
          <w:tcPr>
            <w:tcW w:w="1440" w:type="dxa"/>
          </w:tcPr>
          <w:p w:rsidR="0059386B" w:rsidRPr="003915A6" w:rsidRDefault="004D7BA6" w:rsidP="003915A6">
            <w:pPr>
              <w:pStyle w:val="BodyText"/>
              <w:tabs>
                <w:tab w:val="left" w:pos="360"/>
                <w:tab w:val="left" w:pos="540"/>
                <w:tab w:val="left" w:pos="630"/>
                <w:tab w:val="left" w:pos="810"/>
              </w:tabs>
              <w:ind w:right="-108" w:hanging="108"/>
              <w:jc w:val="center"/>
              <w:rPr>
                <w:b/>
                <w:sz w:val="20"/>
              </w:rPr>
            </w:pPr>
            <w:r w:rsidRPr="003915A6">
              <w:rPr>
                <w:sz w:val="20"/>
              </w:rPr>
              <w:t xml:space="preserve"> </w:t>
            </w:r>
            <w:r w:rsidR="00C24B2D" w:rsidRPr="003915A6">
              <w:rPr>
                <w:sz w:val="20"/>
              </w:rPr>
              <w:t xml:space="preserve"> </w:t>
            </w:r>
            <w:r w:rsidR="003915A6" w:rsidRPr="003915A6">
              <w:rPr>
                <w:sz w:val="20"/>
              </w:rPr>
              <w:t>61,394</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RCSLS B (USD5,665,323)</w:t>
            </w:r>
            <w:r w:rsidR="00C36199">
              <w:rPr>
                <w:sz w:val="20"/>
              </w:rPr>
              <w:t xml:space="preserve"> *</w:t>
            </w:r>
          </w:p>
        </w:tc>
        <w:tc>
          <w:tcPr>
            <w:tcW w:w="1440" w:type="dxa"/>
          </w:tcPr>
          <w:p w:rsidR="0059386B" w:rsidRPr="003915A6" w:rsidRDefault="004D7BA6" w:rsidP="003915A6">
            <w:pPr>
              <w:pStyle w:val="BodyText"/>
              <w:tabs>
                <w:tab w:val="left" w:pos="360"/>
                <w:tab w:val="left" w:pos="540"/>
                <w:tab w:val="left" w:pos="630"/>
                <w:tab w:val="left" w:pos="810"/>
              </w:tabs>
              <w:ind w:right="-108" w:hanging="108"/>
              <w:jc w:val="center"/>
              <w:rPr>
                <w:b/>
                <w:sz w:val="20"/>
              </w:rPr>
            </w:pPr>
            <w:r w:rsidRPr="003915A6">
              <w:rPr>
                <w:sz w:val="20"/>
              </w:rPr>
              <w:t xml:space="preserve"> </w:t>
            </w:r>
            <w:r w:rsidR="00C24B2D" w:rsidRPr="003915A6">
              <w:rPr>
                <w:sz w:val="20"/>
              </w:rPr>
              <w:t xml:space="preserve"> </w:t>
            </w:r>
            <w:r w:rsidR="003915A6" w:rsidRPr="003915A6">
              <w:rPr>
                <w:sz w:val="20"/>
              </w:rPr>
              <w:t>18,081</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sz w:val="20"/>
              </w:rPr>
            </w:pPr>
            <w:r w:rsidRPr="00E00805">
              <w:rPr>
                <w:sz w:val="20"/>
              </w:rPr>
              <w:t>Total RCSLS</w:t>
            </w:r>
          </w:p>
        </w:tc>
        <w:tc>
          <w:tcPr>
            <w:tcW w:w="1440" w:type="dxa"/>
            <w:tcBorders>
              <w:top w:val="single" w:sz="4" w:space="0" w:color="auto"/>
            </w:tcBorders>
          </w:tcPr>
          <w:p w:rsidR="0059386B" w:rsidRPr="003915A6" w:rsidRDefault="004D7BA6" w:rsidP="0008044C">
            <w:pPr>
              <w:pStyle w:val="BodyText"/>
              <w:tabs>
                <w:tab w:val="left" w:pos="360"/>
                <w:tab w:val="left" w:pos="540"/>
                <w:tab w:val="left" w:pos="630"/>
                <w:tab w:val="left" w:pos="810"/>
              </w:tabs>
              <w:ind w:right="-108" w:hanging="108"/>
              <w:rPr>
                <w:sz w:val="20"/>
              </w:rPr>
            </w:pPr>
            <w:r w:rsidRPr="003915A6">
              <w:rPr>
                <w:sz w:val="20"/>
              </w:rPr>
              <w:t xml:space="preserve"> </w:t>
            </w:r>
            <w:r w:rsidR="00D23186" w:rsidRPr="003915A6">
              <w:rPr>
                <w:sz w:val="20"/>
              </w:rPr>
              <w:t xml:space="preserve">     </w:t>
            </w:r>
            <w:r w:rsidRPr="003915A6">
              <w:rPr>
                <w:sz w:val="20"/>
              </w:rPr>
              <w:t xml:space="preserve"> </w:t>
            </w:r>
            <w:r w:rsidR="006B460C" w:rsidRPr="003915A6">
              <w:rPr>
                <w:sz w:val="20"/>
              </w:rPr>
              <w:t xml:space="preserve">  </w:t>
            </w:r>
            <w:r w:rsidR="001B23FA" w:rsidRPr="003915A6">
              <w:rPr>
                <w:sz w:val="20"/>
              </w:rPr>
              <w:t>7</w:t>
            </w:r>
            <w:r w:rsidR="003915A6" w:rsidRPr="003915A6">
              <w:rPr>
                <w:sz w:val="20"/>
              </w:rPr>
              <w:t>9,475</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Less : Equity portion of RCSLS</w:t>
            </w:r>
          </w:p>
        </w:tc>
        <w:tc>
          <w:tcPr>
            <w:tcW w:w="1440" w:type="dxa"/>
            <w:tcBorders>
              <w:bottom w:val="single" w:sz="8" w:space="0" w:color="000000"/>
            </w:tcBorders>
          </w:tcPr>
          <w:p w:rsidR="0059386B" w:rsidRPr="003915A6" w:rsidRDefault="00B13993" w:rsidP="00B13993">
            <w:pPr>
              <w:pStyle w:val="BodyText"/>
              <w:tabs>
                <w:tab w:val="left" w:pos="360"/>
                <w:tab w:val="left" w:pos="540"/>
                <w:tab w:val="left" w:pos="630"/>
                <w:tab w:val="left" w:pos="810"/>
              </w:tabs>
              <w:ind w:right="-108" w:hanging="108"/>
              <w:jc w:val="center"/>
              <w:rPr>
                <w:b/>
                <w:sz w:val="20"/>
              </w:rPr>
            </w:pPr>
            <w:r w:rsidRPr="003915A6">
              <w:rPr>
                <w:sz w:val="20"/>
              </w:rPr>
              <w:t xml:space="preserve"> </w:t>
            </w:r>
            <w:r w:rsidR="004D7BA6" w:rsidRPr="003915A6">
              <w:rPr>
                <w:sz w:val="20"/>
              </w:rPr>
              <w:t xml:space="preserve"> </w:t>
            </w:r>
            <w:r w:rsidR="00AD18FD" w:rsidRPr="003915A6">
              <w:rPr>
                <w:sz w:val="20"/>
              </w:rPr>
              <w:t>(</w:t>
            </w:r>
            <w:r w:rsidR="003915A6" w:rsidRPr="003915A6">
              <w:rPr>
                <w:sz w:val="20"/>
              </w:rPr>
              <w:t>75,878</w:t>
            </w:r>
            <w:r w:rsidR="00FF5DD6" w:rsidRPr="003915A6">
              <w:rPr>
                <w:sz w:val="20"/>
              </w:rPr>
              <w:t>)</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Net RCSLS</w:t>
            </w:r>
          </w:p>
        </w:tc>
        <w:tc>
          <w:tcPr>
            <w:tcW w:w="1440" w:type="dxa"/>
          </w:tcPr>
          <w:p w:rsidR="0059386B" w:rsidRPr="003915A6" w:rsidRDefault="000A6EE3" w:rsidP="00B13993">
            <w:pPr>
              <w:pStyle w:val="BodyText"/>
              <w:tabs>
                <w:tab w:val="left" w:pos="360"/>
                <w:tab w:val="left" w:pos="540"/>
                <w:tab w:val="left" w:pos="630"/>
                <w:tab w:val="left" w:pos="810"/>
              </w:tabs>
              <w:ind w:right="-108" w:hanging="108"/>
              <w:jc w:val="center"/>
              <w:rPr>
                <w:b/>
                <w:sz w:val="20"/>
              </w:rPr>
            </w:pPr>
            <w:r w:rsidRPr="003915A6">
              <w:rPr>
                <w:b/>
                <w:sz w:val="20"/>
              </w:rPr>
              <w:t xml:space="preserve"> </w:t>
            </w:r>
            <w:r w:rsidR="000445B0" w:rsidRPr="003915A6">
              <w:rPr>
                <w:b/>
                <w:sz w:val="20"/>
              </w:rPr>
              <w:t xml:space="preserve">  </w:t>
            </w:r>
            <w:r w:rsidR="003915A6" w:rsidRPr="003915A6">
              <w:rPr>
                <w:b/>
                <w:sz w:val="20"/>
              </w:rPr>
              <w:t>3,597</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Secured Bonds (USD1</w:t>
            </w:r>
            <w:r w:rsidR="005171D9" w:rsidRPr="00E00805">
              <w:rPr>
                <w:b/>
                <w:sz w:val="20"/>
              </w:rPr>
              <w:t>2</w:t>
            </w:r>
            <w:r w:rsidRPr="00E00805">
              <w:rPr>
                <w:b/>
                <w:sz w:val="20"/>
              </w:rPr>
              <w:t>,</w:t>
            </w:r>
            <w:r w:rsidR="005171D9" w:rsidRPr="00E00805">
              <w:rPr>
                <w:b/>
                <w:sz w:val="20"/>
              </w:rPr>
              <w:t>700</w:t>
            </w:r>
            <w:r w:rsidRPr="00E00805">
              <w:rPr>
                <w:b/>
                <w:sz w:val="20"/>
              </w:rPr>
              <w:t>,000)</w:t>
            </w:r>
          </w:p>
        </w:tc>
        <w:tc>
          <w:tcPr>
            <w:tcW w:w="1440" w:type="dxa"/>
          </w:tcPr>
          <w:p w:rsidR="0059386B" w:rsidRPr="003915A6" w:rsidRDefault="001E41F9" w:rsidP="0008044C">
            <w:pPr>
              <w:pStyle w:val="BodyText"/>
              <w:tabs>
                <w:tab w:val="left" w:pos="360"/>
                <w:tab w:val="left" w:pos="540"/>
                <w:tab w:val="left" w:pos="630"/>
                <w:tab w:val="left" w:pos="810"/>
              </w:tabs>
              <w:ind w:right="-108" w:hanging="108"/>
              <w:rPr>
                <w:b/>
                <w:sz w:val="20"/>
              </w:rPr>
            </w:pPr>
            <w:r w:rsidRPr="003915A6">
              <w:rPr>
                <w:b/>
                <w:sz w:val="20"/>
              </w:rPr>
              <w:t xml:space="preserve">     </w:t>
            </w:r>
            <w:r w:rsidR="006B460C" w:rsidRPr="003915A6">
              <w:rPr>
                <w:b/>
                <w:sz w:val="20"/>
              </w:rPr>
              <w:t xml:space="preserve">   </w:t>
            </w:r>
            <w:r w:rsidR="004D7BA6" w:rsidRPr="003915A6">
              <w:rPr>
                <w:b/>
                <w:sz w:val="20"/>
              </w:rPr>
              <w:t xml:space="preserve"> </w:t>
            </w:r>
            <w:r w:rsidR="003915A6" w:rsidRPr="003915A6">
              <w:rPr>
                <w:b/>
                <w:sz w:val="20"/>
              </w:rPr>
              <w:t>40,532</w:t>
            </w:r>
          </w:p>
        </w:tc>
      </w:tr>
      <w:tr w:rsidR="0059386B">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p>
        </w:tc>
        <w:tc>
          <w:tcPr>
            <w:tcW w:w="1440" w:type="dxa"/>
            <w:tcBorders>
              <w:top w:val="single" w:sz="8" w:space="0" w:color="000000"/>
              <w:bottom w:val="single" w:sz="12" w:space="0" w:color="000000"/>
            </w:tcBorders>
          </w:tcPr>
          <w:p w:rsidR="0059386B" w:rsidRPr="003915A6" w:rsidRDefault="00F916A1" w:rsidP="00AD18FD">
            <w:pPr>
              <w:pStyle w:val="BodyText"/>
              <w:tabs>
                <w:tab w:val="left" w:pos="360"/>
                <w:tab w:val="left" w:pos="540"/>
                <w:tab w:val="left" w:pos="630"/>
                <w:tab w:val="left" w:pos="810"/>
              </w:tabs>
              <w:ind w:right="-108" w:hanging="108"/>
              <w:rPr>
                <w:b/>
                <w:sz w:val="20"/>
              </w:rPr>
            </w:pPr>
            <w:r w:rsidRPr="003915A6">
              <w:rPr>
                <w:b/>
                <w:sz w:val="20"/>
              </w:rPr>
              <w:t xml:space="preserve">     </w:t>
            </w:r>
            <w:r w:rsidR="006B460C" w:rsidRPr="003915A6">
              <w:rPr>
                <w:b/>
                <w:sz w:val="20"/>
              </w:rPr>
              <w:t xml:space="preserve">   </w:t>
            </w:r>
            <w:r w:rsidR="004D7BA6" w:rsidRPr="003915A6">
              <w:rPr>
                <w:b/>
                <w:sz w:val="20"/>
              </w:rPr>
              <w:t xml:space="preserve"> </w:t>
            </w:r>
            <w:r w:rsidR="000A6EE3" w:rsidRPr="003915A6">
              <w:rPr>
                <w:b/>
                <w:sz w:val="20"/>
              </w:rPr>
              <w:t>4</w:t>
            </w:r>
            <w:r w:rsidR="003915A6" w:rsidRPr="003915A6">
              <w:rPr>
                <w:b/>
                <w:sz w:val="20"/>
              </w:rPr>
              <w:t>4,129</w:t>
            </w:r>
          </w:p>
        </w:tc>
      </w:tr>
    </w:tbl>
    <w:p w:rsidR="00B962C1" w:rsidRDefault="00F22956" w:rsidP="00F22956">
      <w:pPr>
        <w:pStyle w:val="BodyText"/>
        <w:tabs>
          <w:tab w:val="left" w:pos="2302"/>
        </w:tabs>
        <w:ind w:right="-450" w:hanging="1800"/>
        <w:rPr>
          <w:sz w:val="20"/>
        </w:rPr>
      </w:pPr>
      <w:r>
        <w:rPr>
          <w:sz w:val="20"/>
        </w:rPr>
        <w:tab/>
      </w:r>
      <w:r>
        <w:rPr>
          <w:sz w:val="20"/>
        </w:rPr>
        <w:tab/>
      </w:r>
    </w:p>
    <w:p w:rsidR="00C36199" w:rsidRDefault="00C36199" w:rsidP="00C36199">
      <w:pPr>
        <w:pStyle w:val="BodyText"/>
        <w:tabs>
          <w:tab w:val="left" w:pos="360"/>
          <w:tab w:val="left" w:pos="540"/>
          <w:tab w:val="left" w:pos="630"/>
          <w:tab w:val="left" w:pos="1080"/>
        </w:tabs>
        <w:ind w:left="360"/>
        <w:rPr>
          <w:sz w:val="20"/>
        </w:rPr>
      </w:pPr>
      <w:r>
        <w:rPr>
          <w:sz w:val="20"/>
        </w:rPr>
        <w:tab/>
        <w:t xml:space="preserve">* Notice for redemption of RCSLS B </w:t>
      </w:r>
      <w:r w:rsidR="00F22956">
        <w:rPr>
          <w:sz w:val="20"/>
        </w:rPr>
        <w:t>was</w:t>
      </w:r>
      <w:r>
        <w:rPr>
          <w:sz w:val="20"/>
        </w:rPr>
        <w:t xml:space="preserve"> served on 9 July 2012 </w:t>
      </w:r>
      <w:r w:rsidR="00F22956">
        <w:rPr>
          <w:sz w:val="20"/>
        </w:rPr>
        <w:t>for the</w:t>
      </w:r>
      <w:r>
        <w:rPr>
          <w:sz w:val="20"/>
        </w:rPr>
        <w:t xml:space="preserve"> redemption </w:t>
      </w:r>
      <w:r w:rsidR="00F22956">
        <w:rPr>
          <w:sz w:val="20"/>
        </w:rPr>
        <w:t>to</w:t>
      </w:r>
      <w:r>
        <w:rPr>
          <w:sz w:val="20"/>
        </w:rPr>
        <w:t xml:space="preserve"> be made on</w:t>
      </w:r>
    </w:p>
    <w:p w:rsidR="00C36199" w:rsidRDefault="00C36199" w:rsidP="00C36199">
      <w:pPr>
        <w:pStyle w:val="BodyText"/>
        <w:tabs>
          <w:tab w:val="left" w:pos="360"/>
          <w:tab w:val="left" w:pos="540"/>
          <w:tab w:val="left" w:pos="630"/>
          <w:tab w:val="left" w:pos="1080"/>
        </w:tabs>
        <w:ind w:left="360"/>
        <w:rPr>
          <w:sz w:val="20"/>
        </w:rPr>
      </w:pPr>
      <w:r>
        <w:rPr>
          <w:sz w:val="20"/>
        </w:rPr>
        <w:tab/>
      </w:r>
      <w:r>
        <w:rPr>
          <w:sz w:val="20"/>
        </w:rPr>
        <w:tab/>
        <w:t xml:space="preserve"> 10 September 2012.</w:t>
      </w:r>
      <w:r w:rsidR="00917A58">
        <w:rPr>
          <w:sz w:val="20"/>
        </w:rPr>
        <w:tab/>
      </w:r>
      <w:r w:rsidR="00917A58">
        <w:rPr>
          <w:sz w:val="20"/>
        </w:rPr>
        <w:tab/>
      </w:r>
      <w:r w:rsidR="00917A58">
        <w:rPr>
          <w:sz w:val="20"/>
        </w:rPr>
        <w:tab/>
      </w:r>
    </w:p>
    <w:p w:rsidR="00F22956" w:rsidRDefault="00F22956" w:rsidP="00C36199">
      <w:pPr>
        <w:pStyle w:val="BodyText"/>
        <w:tabs>
          <w:tab w:val="left" w:pos="360"/>
          <w:tab w:val="left" w:pos="540"/>
          <w:tab w:val="left" w:pos="630"/>
          <w:tab w:val="left" w:pos="1080"/>
        </w:tabs>
        <w:ind w:left="360"/>
        <w:rPr>
          <w:sz w:val="20"/>
        </w:rPr>
      </w:pPr>
    </w:p>
    <w:p w:rsidR="0059386B" w:rsidRDefault="003B369C" w:rsidP="00917A58">
      <w:pPr>
        <w:pStyle w:val="BodyText"/>
        <w:tabs>
          <w:tab w:val="left" w:pos="360"/>
          <w:tab w:val="left" w:pos="540"/>
          <w:tab w:val="left" w:pos="630"/>
          <w:tab w:val="left" w:pos="1080"/>
        </w:tabs>
        <w:ind w:right="-450"/>
        <w:rPr>
          <w:sz w:val="20"/>
        </w:rPr>
      </w:pPr>
      <w:r>
        <w:rPr>
          <w:sz w:val="20"/>
        </w:rPr>
        <w:tab/>
      </w:r>
      <w:r>
        <w:rPr>
          <w:sz w:val="20"/>
        </w:rPr>
        <w:tab/>
      </w:r>
      <w:r w:rsidR="0059386B">
        <w:rPr>
          <w:sz w:val="20"/>
        </w:rPr>
        <w:t>The salient terms of the RCSLS</w:t>
      </w:r>
      <w:r w:rsidR="003D2574">
        <w:rPr>
          <w:sz w:val="20"/>
        </w:rPr>
        <w:t xml:space="preserve"> and </w:t>
      </w:r>
      <w:r w:rsidR="0059386B">
        <w:rPr>
          <w:sz w:val="20"/>
        </w:rPr>
        <w:t>Secured Bonds are as follows:</w:t>
      </w:r>
    </w:p>
    <w:p w:rsidR="0059386B" w:rsidRDefault="0059386B" w:rsidP="00491580">
      <w:pPr>
        <w:pStyle w:val="BodyText"/>
        <w:tabs>
          <w:tab w:val="left" w:pos="360"/>
          <w:tab w:val="left" w:pos="540"/>
          <w:tab w:val="left" w:pos="630"/>
          <w:tab w:val="left" w:pos="720"/>
        </w:tabs>
        <w:ind w:right="-450" w:hanging="1800"/>
        <w:rPr>
          <w:sz w:val="20"/>
        </w:rPr>
      </w:pPr>
    </w:p>
    <w:p w:rsidR="00581E42" w:rsidRDefault="0059386B" w:rsidP="00491580">
      <w:pPr>
        <w:pStyle w:val="BodyText"/>
        <w:tabs>
          <w:tab w:val="left" w:pos="36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t xml:space="preserve"> </w:t>
      </w:r>
      <w:r w:rsidR="00581E42">
        <w:rPr>
          <w:sz w:val="20"/>
        </w:rPr>
        <w:tab/>
      </w:r>
      <w:r>
        <w:rPr>
          <w:sz w:val="20"/>
        </w:rPr>
        <w:t xml:space="preserve"> </w:t>
      </w:r>
      <w:r>
        <w:rPr>
          <w:sz w:val="20"/>
          <w:u w:val="single"/>
        </w:rPr>
        <w:t>Nominal value</w:t>
      </w:r>
      <w:r>
        <w:rPr>
          <w:sz w:val="20"/>
        </w:rPr>
        <w:tab/>
        <w:t xml:space="preserve"> </w:t>
      </w:r>
      <w:r>
        <w:rPr>
          <w:sz w:val="20"/>
          <w:u w:val="single"/>
        </w:rPr>
        <w:t>Tenure</w:t>
      </w:r>
      <w:r>
        <w:rPr>
          <w:sz w:val="20"/>
          <w:u w:val="single"/>
        </w:rPr>
        <w:tab/>
      </w:r>
      <w:r>
        <w:rPr>
          <w:sz w:val="20"/>
        </w:rPr>
        <w:t xml:space="preserve">   </w:t>
      </w:r>
      <w:r>
        <w:rPr>
          <w:sz w:val="20"/>
          <w:u w:val="single"/>
        </w:rPr>
        <w:t>Maturity Date</w:t>
      </w:r>
      <w:r>
        <w:rPr>
          <w:sz w:val="20"/>
        </w:rPr>
        <w:t xml:space="preserve">   </w:t>
      </w:r>
      <w:r>
        <w:rPr>
          <w:sz w:val="20"/>
          <w:u w:val="single"/>
        </w:rPr>
        <w:t>Coupon Rate</w:t>
      </w:r>
      <w:r>
        <w:rPr>
          <w:sz w:val="20"/>
        </w:rPr>
        <w:tab/>
        <w:t xml:space="preserve">           </w:t>
      </w:r>
      <w:r>
        <w:rPr>
          <w:sz w:val="20"/>
        </w:rPr>
        <w:tab/>
      </w:r>
      <w:r>
        <w:rPr>
          <w:sz w:val="20"/>
        </w:rPr>
        <w:tab/>
      </w:r>
    </w:p>
    <w:p w:rsidR="00581E42" w:rsidRPr="0017137F" w:rsidRDefault="00581E42" w:rsidP="00581E42">
      <w:pPr>
        <w:pStyle w:val="BodyText"/>
        <w:tabs>
          <w:tab w:val="left" w:pos="360"/>
          <w:tab w:val="left" w:pos="540"/>
          <w:tab w:val="left" w:pos="720"/>
        </w:tabs>
        <w:ind w:right="-450" w:hanging="1800"/>
        <w:rPr>
          <w:sz w:val="20"/>
        </w:rPr>
      </w:pPr>
      <w:r>
        <w:rPr>
          <w:sz w:val="20"/>
        </w:rPr>
        <w:tab/>
      </w:r>
      <w:r w:rsidR="0059386B">
        <w:rPr>
          <w:sz w:val="20"/>
        </w:rPr>
        <w:t xml:space="preserve"> </w:t>
      </w:r>
      <w:r>
        <w:rPr>
          <w:sz w:val="20"/>
        </w:rPr>
        <w:tab/>
      </w:r>
      <w:r>
        <w:rPr>
          <w:sz w:val="20"/>
        </w:rPr>
        <w:tab/>
      </w:r>
      <w:r w:rsidR="0059386B">
        <w:rPr>
          <w:sz w:val="20"/>
        </w:rPr>
        <w:t xml:space="preserve">  </w:t>
      </w:r>
      <w:r w:rsidR="00613DAE">
        <w:rPr>
          <w:sz w:val="20"/>
        </w:rPr>
        <w:t xml:space="preserve"> </w:t>
      </w:r>
      <w:proofErr w:type="gramStart"/>
      <w:r w:rsidR="0059386B">
        <w:rPr>
          <w:sz w:val="20"/>
        </w:rPr>
        <w:t>a)  RCSLS</w:t>
      </w:r>
      <w:proofErr w:type="gramEnd"/>
      <w:r w:rsidR="0059386B">
        <w:rPr>
          <w:sz w:val="20"/>
        </w:rPr>
        <w:t xml:space="preserve"> A-2003/20</w:t>
      </w:r>
      <w:r w:rsidR="00E1680A">
        <w:rPr>
          <w:sz w:val="20"/>
        </w:rPr>
        <w:t>13</w:t>
      </w:r>
      <w:r w:rsidR="0059386B">
        <w:rPr>
          <w:sz w:val="20"/>
        </w:rPr>
        <w:t xml:space="preserve"> </w:t>
      </w:r>
      <w:r w:rsidR="00A060A6">
        <w:rPr>
          <w:sz w:val="20"/>
        </w:rPr>
        <w:t xml:space="preserve"> </w:t>
      </w:r>
      <w:r w:rsidR="00351956">
        <w:rPr>
          <w:sz w:val="20"/>
        </w:rPr>
        <w:t xml:space="preserve"> </w:t>
      </w:r>
      <w:r>
        <w:rPr>
          <w:sz w:val="20"/>
        </w:rPr>
        <w:tab/>
      </w:r>
      <w:r w:rsidR="00351956">
        <w:rPr>
          <w:sz w:val="20"/>
        </w:rPr>
        <w:t xml:space="preserve">  </w:t>
      </w:r>
      <w:r w:rsidR="00A060A6">
        <w:rPr>
          <w:sz w:val="20"/>
        </w:rPr>
        <w:t>USD1 each</w:t>
      </w:r>
      <w:r w:rsidR="00A060A6">
        <w:rPr>
          <w:sz w:val="20"/>
        </w:rPr>
        <w:tab/>
        <w:t xml:space="preserve"> </w:t>
      </w:r>
      <w:r w:rsidR="00E1680A">
        <w:rPr>
          <w:sz w:val="20"/>
        </w:rPr>
        <w:t>10</w:t>
      </w:r>
      <w:r w:rsidR="00A060A6">
        <w:rPr>
          <w:sz w:val="20"/>
        </w:rPr>
        <w:t xml:space="preserve"> years</w:t>
      </w:r>
      <w:r w:rsidR="00440D34">
        <w:rPr>
          <w:sz w:val="20"/>
        </w:rPr>
        <w:t xml:space="preserve"> </w:t>
      </w:r>
      <w:r w:rsidR="00A060A6">
        <w:rPr>
          <w:sz w:val="20"/>
        </w:rPr>
        <w:t xml:space="preserve">  </w:t>
      </w:r>
      <w:r w:rsidR="00440D34">
        <w:rPr>
          <w:sz w:val="20"/>
        </w:rPr>
        <w:t xml:space="preserve"> </w:t>
      </w:r>
      <w:r w:rsidR="00A060A6">
        <w:rPr>
          <w:sz w:val="20"/>
        </w:rPr>
        <w:t xml:space="preserve"> 30.6.2013</w:t>
      </w:r>
      <w:r w:rsidR="0059386B">
        <w:rPr>
          <w:sz w:val="20"/>
        </w:rPr>
        <w:t xml:space="preserve">       </w:t>
      </w:r>
      <w:r w:rsidR="003C2A3B">
        <w:rPr>
          <w:sz w:val="20"/>
        </w:rPr>
        <w:t xml:space="preserve">} LIBOR </w:t>
      </w:r>
      <w:r w:rsidR="003C2A3B" w:rsidRPr="0017137F">
        <w:rPr>
          <w:sz w:val="20"/>
        </w:rPr>
        <w:t>+ 1.5%</w:t>
      </w:r>
      <w:r w:rsidR="005B5557" w:rsidRPr="0017137F">
        <w:rPr>
          <w:sz w:val="20"/>
        </w:rPr>
        <w:t xml:space="preserve"> p.a.</w:t>
      </w:r>
    </w:p>
    <w:p w:rsidR="00581E42" w:rsidRPr="0017137F" w:rsidRDefault="0059386B" w:rsidP="006713A0">
      <w:pPr>
        <w:pStyle w:val="BodyText"/>
        <w:tabs>
          <w:tab w:val="left" w:pos="180"/>
          <w:tab w:val="left" w:pos="540"/>
          <w:tab w:val="left" w:pos="720"/>
        </w:tabs>
        <w:ind w:right="-450" w:hanging="1800"/>
        <w:rPr>
          <w:sz w:val="20"/>
        </w:rPr>
      </w:pPr>
      <w:r w:rsidRPr="0017137F">
        <w:rPr>
          <w:sz w:val="20"/>
        </w:rPr>
        <w:tab/>
      </w:r>
      <w:r w:rsidR="00D2268B" w:rsidRPr="0017137F">
        <w:rPr>
          <w:sz w:val="20"/>
        </w:rPr>
        <w:tab/>
      </w:r>
      <w:r w:rsidR="00D2268B" w:rsidRPr="0017137F">
        <w:rPr>
          <w:sz w:val="20"/>
        </w:rPr>
        <w:tab/>
        <w:t xml:space="preserve">   </w:t>
      </w:r>
      <w:proofErr w:type="gramStart"/>
      <w:r w:rsidRPr="0017137F">
        <w:rPr>
          <w:sz w:val="20"/>
        </w:rPr>
        <w:t xml:space="preserve">b) </w:t>
      </w:r>
      <w:r w:rsidR="00581E42" w:rsidRPr="0017137F">
        <w:rPr>
          <w:sz w:val="20"/>
        </w:rPr>
        <w:t xml:space="preserve"> </w:t>
      </w:r>
      <w:r w:rsidRPr="0017137F">
        <w:rPr>
          <w:sz w:val="20"/>
        </w:rPr>
        <w:t>RCSLS</w:t>
      </w:r>
      <w:proofErr w:type="gramEnd"/>
      <w:r w:rsidRPr="0017137F">
        <w:rPr>
          <w:sz w:val="20"/>
        </w:rPr>
        <w:t xml:space="preserve"> B-2003/20</w:t>
      </w:r>
      <w:r w:rsidR="00E1680A" w:rsidRPr="0017137F">
        <w:rPr>
          <w:sz w:val="20"/>
        </w:rPr>
        <w:t>13</w:t>
      </w:r>
      <w:r w:rsidRPr="0017137F">
        <w:rPr>
          <w:sz w:val="20"/>
        </w:rPr>
        <w:tab/>
        <w:t xml:space="preserve"> </w:t>
      </w:r>
      <w:r w:rsidR="00A060A6" w:rsidRPr="0017137F">
        <w:rPr>
          <w:sz w:val="20"/>
        </w:rPr>
        <w:t xml:space="preserve"> USD1 each</w:t>
      </w:r>
      <w:r w:rsidR="00A060A6" w:rsidRPr="0017137F">
        <w:rPr>
          <w:sz w:val="20"/>
        </w:rPr>
        <w:tab/>
      </w:r>
      <w:r w:rsidR="00351956" w:rsidRPr="0017137F">
        <w:rPr>
          <w:sz w:val="20"/>
        </w:rPr>
        <w:t xml:space="preserve"> </w:t>
      </w:r>
      <w:r w:rsidR="00E1680A" w:rsidRPr="0017137F">
        <w:rPr>
          <w:sz w:val="20"/>
        </w:rPr>
        <w:t>10</w:t>
      </w:r>
      <w:r w:rsidR="00900D4C" w:rsidRPr="0017137F">
        <w:rPr>
          <w:sz w:val="20"/>
        </w:rPr>
        <w:t xml:space="preserve"> </w:t>
      </w:r>
      <w:r w:rsidR="00A060A6" w:rsidRPr="0017137F">
        <w:rPr>
          <w:sz w:val="20"/>
        </w:rPr>
        <w:t xml:space="preserve">years </w:t>
      </w:r>
      <w:r w:rsidR="00440D34" w:rsidRPr="0017137F">
        <w:rPr>
          <w:sz w:val="20"/>
        </w:rPr>
        <w:t xml:space="preserve"> </w:t>
      </w:r>
      <w:r w:rsidR="00A060A6" w:rsidRPr="0017137F">
        <w:rPr>
          <w:sz w:val="20"/>
        </w:rPr>
        <w:t xml:space="preserve"> </w:t>
      </w:r>
      <w:r w:rsidR="00351956" w:rsidRPr="0017137F">
        <w:rPr>
          <w:sz w:val="20"/>
        </w:rPr>
        <w:t xml:space="preserve"> </w:t>
      </w:r>
      <w:r w:rsidR="00A060A6" w:rsidRPr="0017137F">
        <w:rPr>
          <w:sz w:val="20"/>
        </w:rPr>
        <w:t xml:space="preserve"> 30.6.2013</w:t>
      </w:r>
      <w:r w:rsidRPr="0017137F">
        <w:rPr>
          <w:sz w:val="20"/>
        </w:rPr>
        <w:t xml:space="preserve">      </w:t>
      </w:r>
      <w:r w:rsidR="003C2A3B" w:rsidRPr="0017137F">
        <w:rPr>
          <w:sz w:val="20"/>
        </w:rPr>
        <w:t xml:space="preserve"> }</w:t>
      </w:r>
      <w:r w:rsidR="005B5557" w:rsidRPr="0017137F">
        <w:rPr>
          <w:sz w:val="20"/>
        </w:rPr>
        <w:t xml:space="preserve"> LIBOR + 1.5% p.a.</w:t>
      </w:r>
    </w:p>
    <w:p w:rsidR="00581E42" w:rsidRPr="0017137F" w:rsidRDefault="00D2268B" w:rsidP="00581E42">
      <w:pPr>
        <w:pStyle w:val="BodyText"/>
        <w:tabs>
          <w:tab w:val="left" w:pos="180"/>
          <w:tab w:val="left" w:pos="540"/>
          <w:tab w:val="left" w:pos="720"/>
        </w:tabs>
        <w:ind w:right="-450" w:hanging="1800"/>
        <w:rPr>
          <w:sz w:val="20"/>
        </w:rPr>
      </w:pPr>
      <w:r w:rsidRPr="0017137F">
        <w:rPr>
          <w:sz w:val="20"/>
        </w:rPr>
        <w:tab/>
      </w:r>
      <w:r w:rsidRPr="0017137F">
        <w:rPr>
          <w:sz w:val="20"/>
        </w:rPr>
        <w:tab/>
      </w:r>
      <w:r w:rsidRPr="0017137F">
        <w:rPr>
          <w:sz w:val="20"/>
        </w:rPr>
        <w:tab/>
        <w:t xml:space="preserve">   </w:t>
      </w:r>
      <w:proofErr w:type="gramStart"/>
      <w:r w:rsidR="00581E42" w:rsidRPr="0017137F">
        <w:rPr>
          <w:sz w:val="20"/>
        </w:rPr>
        <w:t>c)  Secured</w:t>
      </w:r>
      <w:proofErr w:type="gramEnd"/>
      <w:r w:rsidR="00581E42" w:rsidRPr="0017137F">
        <w:rPr>
          <w:sz w:val="20"/>
        </w:rPr>
        <w:t xml:space="preserve"> Bonds      </w:t>
      </w:r>
      <w:r w:rsidR="00581E42" w:rsidRPr="0017137F">
        <w:rPr>
          <w:sz w:val="20"/>
        </w:rPr>
        <w:tab/>
        <w:t xml:space="preserve">  USD1 each</w:t>
      </w:r>
      <w:r w:rsidR="00581E42" w:rsidRPr="0017137F">
        <w:rPr>
          <w:sz w:val="20"/>
        </w:rPr>
        <w:tab/>
        <w:t xml:space="preserve"> 25 years     5.12.2020       } Weekly floating rate as</w:t>
      </w:r>
    </w:p>
    <w:p w:rsidR="00581E42" w:rsidRPr="0017137F" w:rsidRDefault="00581E42" w:rsidP="00581E42">
      <w:pPr>
        <w:pStyle w:val="BodyText"/>
        <w:tabs>
          <w:tab w:val="left" w:pos="180"/>
          <w:tab w:val="left" w:pos="540"/>
          <w:tab w:val="left" w:pos="720"/>
        </w:tabs>
        <w:ind w:right="-450" w:hanging="1800"/>
        <w:rPr>
          <w:sz w:val="20"/>
        </w:rPr>
      </w:pP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t xml:space="preserve">   </w:t>
      </w:r>
      <w:proofErr w:type="gramStart"/>
      <w:r w:rsidRPr="0017137F">
        <w:rPr>
          <w:sz w:val="20"/>
        </w:rPr>
        <w:t>determined</w:t>
      </w:r>
      <w:proofErr w:type="gramEnd"/>
      <w:r w:rsidRPr="0017137F">
        <w:rPr>
          <w:sz w:val="20"/>
        </w:rPr>
        <w:t xml:space="preserve"> by the Remarketing</w:t>
      </w:r>
    </w:p>
    <w:p w:rsidR="00581E42" w:rsidRPr="008212F1" w:rsidRDefault="00581E42" w:rsidP="00581E42">
      <w:pPr>
        <w:pStyle w:val="BodyText"/>
        <w:tabs>
          <w:tab w:val="left" w:pos="180"/>
          <w:tab w:val="left" w:pos="540"/>
          <w:tab w:val="left" w:pos="720"/>
        </w:tabs>
        <w:ind w:right="-450" w:hanging="1800"/>
        <w:rPr>
          <w:sz w:val="20"/>
        </w:rPr>
      </w:pP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r>
      <w:r w:rsidRPr="0017137F">
        <w:rPr>
          <w:sz w:val="20"/>
        </w:rPr>
        <w:tab/>
        <w:t xml:space="preserve">   </w:t>
      </w:r>
      <w:r w:rsidRPr="008212F1">
        <w:rPr>
          <w:sz w:val="20"/>
        </w:rPr>
        <w:t>Agent – averaging 0.</w:t>
      </w:r>
      <w:r w:rsidR="006F5B3B" w:rsidRPr="008212F1">
        <w:rPr>
          <w:sz w:val="20"/>
        </w:rPr>
        <w:t>1</w:t>
      </w:r>
      <w:r w:rsidR="008212F1" w:rsidRPr="008212F1">
        <w:rPr>
          <w:sz w:val="20"/>
        </w:rPr>
        <w:t>9</w:t>
      </w:r>
      <w:r w:rsidRPr="008212F1">
        <w:rPr>
          <w:sz w:val="20"/>
        </w:rPr>
        <w:t>% p.a.</w:t>
      </w:r>
      <w:r w:rsidR="00F91331" w:rsidRPr="008212F1">
        <w:rPr>
          <w:sz w:val="20"/>
        </w:rPr>
        <w:t xml:space="preserve"> for </w:t>
      </w:r>
    </w:p>
    <w:p w:rsidR="00F91331" w:rsidRPr="0017137F" w:rsidRDefault="00F91331" w:rsidP="00581E42">
      <w:pPr>
        <w:pStyle w:val="BodyText"/>
        <w:tabs>
          <w:tab w:val="left" w:pos="180"/>
          <w:tab w:val="left" w:pos="540"/>
          <w:tab w:val="left" w:pos="720"/>
        </w:tabs>
        <w:ind w:right="-450" w:hanging="1800"/>
        <w:rPr>
          <w:sz w:val="20"/>
        </w:rPr>
      </w:pPr>
      <w:r w:rsidRPr="008212F1">
        <w:rPr>
          <w:sz w:val="20"/>
        </w:rPr>
        <w:tab/>
      </w:r>
      <w:r w:rsidRPr="008212F1">
        <w:rPr>
          <w:sz w:val="20"/>
        </w:rPr>
        <w:tab/>
      </w:r>
      <w:r w:rsidRPr="008212F1">
        <w:rPr>
          <w:sz w:val="20"/>
        </w:rPr>
        <w:tab/>
      </w:r>
      <w:r w:rsidRPr="008212F1">
        <w:rPr>
          <w:sz w:val="20"/>
        </w:rPr>
        <w:tab/>
      </w:r>
      <w:r w:rsidRPr="008212F1">
        <w:rPr>
          <w:sz w:val="20"/>
        </w:rPr>
        <w:tab/>
      </w:r>
      <w:r w:rsidRPr="008212F1">
        <w:rPr>
          <w:sz w:val="20"/>
        </w:rPr>
        <w:tab/>
      </w:r>
      <w:r w:rsidRPr="008212F1">
        <w:rPr>
          <w:sz w:val="20"/>
        </w:rPr>
        <w:tab/>
      </w:r>
      <w:r w:rsidRPr="008212F1">
        <w:rPr>
          <w:sz w:val="20"/>
        </w:rPr>
        <w:tab/>
      </w:r>
      <w:r w:rsidRPr="008212F1">
        <w:rPr>
          <w:sz w:val="20"/>
        </w:rPr>
        <w:tab/>
      </w:r>
      <w:r w:rsidRPr="008212F1">
        <w:rPr>
          <w:sz w:val="20"/>
        </w:rPr>
        <w:tab/>
      </w:r>
      <w:r w:rsidRPr="008212F1">
        <w:rPr>
          <w:sz w:val="20"/>
        </w:rPr>
        <w:tab/>
      </w:r>
      <w:r w:rsidRPr="008212F1">
        <w:rPr>
          <w:sz w:val="20"/>
        </w:rPr>
        <w:tab/>
        <w:t xml:space="preserve">   </w:t>
      </w:r>
      <w:proofErr w:type="gramStart"/>
      <w:r w:rsidR="00F22956">
        <w:rPr>
          <w:sz w:val="20"/>
        </w:rPr>
        <w:t>t</w:t>
      </w:r>
      <w:r w:rsidRPr="008212F1">
        <w:rPr>
          <w:sz w:val="20"/>
        </w:rPr>
        <w:t>he</w:t>
      </w:r>
      <w:proofErr w:type="gramEnd"/>
      <w:r w:rsidR="00F22956">
        <w:rPr>
          <w:sz w:val="20"/>
        </w:rPr>
        <w:t xml:space="preserve"> period</w:t>
      </w:r>
      <w:r w:rsidRPr="008212F1">
        <w:rPr>
          <w:sz w:val="20"/>
        </w:rPr>
        <w:t xml:space="preserve"> ended 3</w:t>
      </w:r>
      <w:r w:rsidR="008212F1" w:rsidRPr="008212F1">
        <w:rPr>
          <w:sz w:val="20"/>
        </w:rPr>
        <w:t>0</w:t>
      </w:r>
      <w:r w:rsidR="00212EE0" w:rsidRPr="008212F1">
        <w:rPr>
          <w:sz w:val="20"/>
        </w:rPr>
        <w:t xml:space="preserve"> </w:t>
      </w:r>
      <w:r w:rsidR="008212F1" w:rsidRPr="008212F1">
        <w:rPr>
          <w:sz w:val="20"/>
        </w:rPr>
        <w:t>June</w:t>
      </w:r>
      <w:r w:rsidR="005F4D8F" w:rsidRPr="008212F1">
        <w:rPr>
          <w:sz w:val="20"/>
        </w:rPr>
        <w:t xml:space="preserve"> 2012</w:t>
      </w:r>
      <w:r w:rsidR="006713A0" w:rsidRPr="008212F1">
        <w:rPr>
          <w:sz w:val="20"/>
        </w:rPr>
        <w:t>.</w:t>
      </w:r>
    </w:p>
    <w:p w:rsidR="003B369C" w:rsidRDefault="0059386B" w:rsidP="00581E42">
      <w:pPr>
        <w:pStyle w:val="BodyText"/>
        <w:tabs>
          <w:tab w:val="left" w:pos="180"/>
          <w:tab w:val="left" w:pos="540"/>
          <w:tab w:val="left" w:pos="720"/>
        </w:tabs>
        <w:ind w:right="-450" w:hanging="1800"/>
        <w:rPr>
          <w:sz w:val="20"/>
        </w:rPr>
      </w:pPr>
      <w:r w:rsidRPr="0017137F">
        <w:rPr>
          <w:sz w:val="20"/>
        </w:rPr>
        <w:tab/>
      </w:r>
    </w:p>
    <w:p w:rsidR="00325A74" w:rsidRPr="0017137F" w:rsidRDefault="0050655A" w:rsidP="00581E42">
      <w:pPr>
        <w:pStyle w:val="BodyText"/>
        <w:tabs>
          <w:tab w:val="left" w:pos="180"/>
          <w:tab w:val="left" w:pos="540"/>
          <w:tab w:val="left" w:pos="720"/>
        </w:tabs>
        <w:ind w:right="-450" w:hanging="1800"/>
        <w:rPr>
          <w:sz w:val="20"/>
        </w:rPr>
      </w:pPr>
      <w:r w:rsidRPr="0017137F">
        <w:rPr>
          <w:sz w:val="20"/>
        </w:rPr>
        <w:tab/>
      </w:r>
      <w:r w:rsidR="00581E42" w:rsidRPr="0017137F">
        <w:rPr>
          <w:sz w:val="20"/>
        </w:rPr>
        <w:tab/>
      </w:r>
      <w:r w:rsidR="00581E42" w:rsidRPr="0017137F">
        <w:rPr>
          <w:sz w:val="20"/>
        </w:rPr>
        <w:tab/>
      </w:r>
      <w:r w:rsidR="00581E42" w:rsidRPr="0017137F">
        <w:rPr>
          <w:sz w:val="20"/>
        </w:rPr>
        <w:tab/>
      </w:r>
    </w:p>
    <w:p w:rsidR="0059386B" w:rsidRPr="0017137F" w:rsidRDefault="0059386B" w:rsidP="006713A0">
      <w:pPr>
        <w:pStyle w:val="BodyText"/>
        <w:numPr>
          <w:ilvl w:val="0"/>
          <w:numId w:val="1"/>
        </w:numPr>
        <w:tabs>
          <w:tab w:val="left" w:pos="360"/>
          <w:tab w:val="left" w:pos="540"/>
          <w:tab w:val="left" w:pos="630"/>
          <w:tab w:val="left" w:pos="810"/>
          <w:tab w:val="num" w:pos="1260"/>
        </w:tabs>
        <w:ind w:left="900" w:right="-450" w:hanging="450"/>
        <w:rPr>
          <w:sz w:val="20"/>
        </w:rPr>
      </w:pPr>
      <w:r w:rsidRPr="0017137F">
        <w:rPr>
          <w:b/>
          <w:sz w:val="20"/>
        </w:rPr>
        <w:t xml:space="preserve">Long term </w:t>
      </w:r>
      <w:r w:rsidR="00F22956">
        <w:rPr>
          <w:b/>
          <w:sz w:val="20"/>
        </w:rPr>
        <w:t xml:space="preserve">loans and </w:t>
      </w:r>
      <w:r w:rsidRPr="0017137F">
        <w:rPr>
          <w:b/>
          <w:sz w:val="20"/>
        </w:rPr>
        <w:t>borrowings</w:t>
      </w:r>
    </w:p>
    <w:tbl>
      <w:tblPr>
        <w:tblW w:w="9810" w:type="dxa"/>
        <w:tblInd w:w="1008" w:type="dxa"/>
        <w:tblLayout w:type="fixed"/>
        <w:tblLook w:val="0000"/>
      </w:tblPr>
      <w:tblGrid>
        <w:gridCol w:w="3960"/>
        <w:gridCol w:w="1260"/>
        <w:gridCol w:w="180"/>
        <w:gridCol w:w="1260"/>
        <w:gridCol w:w="270"/>
        <w:gridCol w:w="1170"/>
        <w:gridCol w:w="270"/>
        <w:gridCol w:w="1440"/>
      </w:tblGrid>
      <w:tr w:rsidR="00397D3A" w:rsidRPr="0017137F" w:rsidTr="00397D3A">
        <w:tc>
          <w:tcPr>
            <w:tcW w:w="5220" w:type="dxa"/>
            <w:gridSpan w:val="2"/>
          </w:tcPr>
          <w:p w:rsidR="00397D3A" w:rsidRDefault="00397D3A" w:rsidP="009F66C4">
            <w:pPr>
              <w:pStyle w:val="BodyText"/>
              <w:tabs>
                <w:tab w:val="left" w:pos="360"/>
                <w:tab w:val="left" w:pos="540"/>
                <w:tab w:val="left" w:pos="630"/>
                <w:tab w:val="left" w:pos="1080"/>
              </w:tabs>
              <w:ind w:right="-450" w:hanging="108"/>
              <w:rPr>
                <w:b/>
                <w:sz w:val="20"/>
              </w:rPr>
            </w:pPr>
            <w:r w:rsidRPr="00397D3A">
              <w:rPr>
                <w:b/>
                <w:sz w:val="20"/>
              </w:rPr>
              <w:t xml:space="preserve">                                                                    </w:t>
            </w:r>
            <w:r>
              <w:rPr>
                <w:b/>
                <w:sz w:val="20"/>
              </w:rPr>
              <w:t xml:space="preserve">        </w:t>
            </w:r>
            <w:r w:rsidRPr="00397D3A">
              <w:rPr>
                <w:b/>
                <w:sz w:val="20"/>
              </w:rPr>
              <w:t>Continuing</w:t>
            </w:r>
          </w:p>
          <w:p w:rsidR="00397D3A" w:rsidRPr="00397D3A" w:rsidRDefault="00397D3A" w:rsidP="009F66C4">
            <w:pPr>
              <w:pStyle w:val="BodyText"/>
              <w:tabs>
                <w:tab w:val="left" w:pos="360"/>
                <w:tab w:val="left" w:pos="540"/>
                <w:tab w:val="left" w:pos="630"/>
                <w:tab w:val="left" w:pos="1080"/>
              </w:tabs>
              <w:ind w:right="-450" w:hanging="108"/>
              <w:rPr>
                <w:b/>
                <w:sz w:val="20"/>
              </w:rPr>
            </w:pPr>
            <w:r w:rsidRPr="00397D3A">
              <w:rPr>
                <w:b/>
                <w:sz w:val="20"/>
              </w:rPr>
              <w:t xml:space="preserve"> </w:t>
            </w:r>
            <w:r>
              <w:rPr>
                <w:b/>
                <w:sz w:val="20"/>
              </w:rPr>
              <w:t xml:space="preserve">                                                                            </w:t>
            </w:r>
            <w:r w:rsidRPr="00397D3A">
              <w:rPr>
                <w:b/>
                <w:sz w:val="20"/>
              </w:rPr>
              <w:t xml:space="preserve">operations            </w:t>
            </w:r>
          </w:p>
          <w:p w:rsidR="00397D3A" w:rsidRPr="00397D3A" w:rsidRDefault="00397D3A" w:rsidP="009F66C4">
            <w:pPr>
              <w:pStyle w:val="BodyText"/>
              <w:tabs>
                <w:tab w:val="left" w:pos="360"/>
                <w:tab w:val="left" w:pos="540"/>
                <w:tab w:val="left" w:pos="630"/>
                <w:tab w:val="left" w:pos="1080"/>
              </w:tabs>
              <w:ind w:right="-450" w:hanging="108"/>
              <w:rPr>
                <w:b/>
                <w:sz w:val="20"/>
              </w:rPr>
            </w:pPr>
            <w:r>
              <w:rPr>
                <w:b/>
                <w:sz w:val="20"/>
              </w:rPr>
              <w:t xml:space="preserve">                                                                                RM’000</w:t>
            </w:r>
          </w:p>
        </w:tc>
        <w:tc>
          <w:tcPr>
            <w:tcW w:w="1710" w:type="dxa"/>
            <w:gridSpan w:val="3"/>
          </w:tcPr>
          <w:p w:rsidR="00397D3A" w:rsidRDefault="00397D3A" w:rsidP="00397D3A">
            <w:pPr>
              <w:pStyle w:val="BodyText"/>
              <w:tabs>
                <w:tab w:val="left" w:pos="360"/>
                <w:tab w:val="left" w:pos="540"/>
                <w:tab w:val="left" w:pos="630"/>
                <w:tab w:val="left" w:pos="1080"/>
              </w:tabs>
              <w:ind w:right="-450" w:hanging="108"/>
              <w:jc w:val="center"/>
              <w:rPr>
                <w:b/>
                <w:sz w:val="20"/>
              </w:rPr>
            </w:pPr>
            <w:r>
              <w:rPr>
                <w:b/>
                <w:sz w:val="20"/>
              </w:rPr>
              <w:t xml:space="preserve">Discontinued </w:t>
            </w:r>
          </w:p>
          <w:p w:rsidR="00397D3A" w:rsidRDefault="00397D3A" w:rsidP="00397D3A">
            <w:pPr>
              <w:pStyle w:val="BodyText"/>
              <w:tabs>
                <w:tab w:val="left" w:pos="360"/>
                <w:tab w:val="left" w:pos="540"/>
                <w:tab w:val="left" w:pos="630"/>
                <w:tab w:val="left" w:pos="1080"/>
              </w:tabs>
              <w:ind w:right="-450" w:hanging="108"/>
              <w:jc w:val="center"/>
              <w:rPr>
                <w:b/>
                <w:sz w:val="20"/>
              </w:rPr>
            </w:pPr>
            <w:r>
              <w:rPr>
                <w:b/>
                <w:sz w:val="20"/>
              </w:rPr>
              <w:t>operation</w:t>
            </w:r>
          </w:p>
          <w:p w:rsidR="00397D3A" w:rsidRDefault="00397D3A" w:rsidP="00397D3A">
            <w:pPr>
              <w:pStyle w:val="BodyText"/>
              <w:tabs>
                <w:tab w:val="left" w:pos="360"/>
                <w:tab w:val="left" w:pos="540"/>
                <w:tab w:val="left" w:pos="630"/>
                <w:tab w:val="left" w:pos="1080"/>
              </w:tabs>
              <w:ind w:right="-450" w:hanging="108"/>
              <w:jc w:val="center"/>
              <w:rPr>
                <w:b/>
                <w:sz w:val="20"/>
              </w:rPr>
            </w:pPr>
            <w:r w:rsidRPr="0017137F">
              <w:rPr>
                <w:b/>
                <w:sz w:val="20"/>
              </w:rPr>
              <w:t>RM’000</w:t>
            </w:r>
          </w:p>
        </w:tc>
        <w:tc>
          <w:tcPr>
            <w:tcW w:w="1440" w:type="dxa"/>
            <w:gridSpan w:val="2"/>
          </w:tcPr>
          <w:p w:rsidR="00A37FAF" w:rsidRDefault="00397D3A" w:rsidP="00095C20">
            <w:pPr>
              <w:pStyle w:val="BodyText"/>
              <w:tabs>
                <w:tab w:val="left" w:pos="360"/>
                <w:tab w:val="left" w:pos="540"/>
                <w:tab w:val="left" w:pos="630"/>
                <w:tab w:val="left" w:pos="1080"/>
              </w:tabs>
              <w:ind w:right="-450" w:hanging="108"/>
              <w:rPr>
                <w:b/>
                <w:sz w:val="20"/>
              </w:rPr>
            </w:pPr>
            <w:r>
              <w:rPr>
                <w:b/>
                <w:sz w:val="20"/>
              </w:rPr>
              <w:t xml:space="preserve">       </w:t>
            </w:r>
          </w:p>
          <w:p w:rsidR="00A37FAF" w:rsidRDefault="00A37FAF" w:rsidP="00A37FAF">
            <w:pPr>
              <w:pStyle w:val="BodyText"/>
              <w:tabs>
                <w:tab w:val="left" w:pos="360"/>
                <w:tab w:val="left" w:pos="540"/>
                <w:tab w:val="left" w:pos="630"/>
                <w:tab w:val="left" w:pos="1080"/>
              </w:tabs>
              <w:ind w:right="-450" w:hanging="108"/>
              <w:rPr>
                <w:b/>
                <w:sz w:val="20"/>
              </w:rPr>
            </w:pPr>
            <w:r>
              <w:rPr>
                <w:b/>
                <w:sz w:val="20"/>
              </w:rPr>
              <w:t xml:space="preserve">         Total</w:t>
            </w:r>
          </w:p>
          <w:p w:rsidR="00397D3A" w:rsidRPr="0017137F" w:rsidRDefault="00A37FAF" w:rsidP="00095C20">
            <w:pPr>
              <w:pStyle w:val="BodyText"/>
              <w:tabs>
                <w:tab w:val="left" w:pos="360"/>
                <w:tab w:val="left" w:pos="540"/>
                <w:tab w:val="left" w:pos="630"/>
                <w:tab w:val="left" w:pos="1080"/>
              </w:tabs>
              <w:ind w:right="-450" w:hanging="108"/>
              <w:rPr>
                <w:b/>
                <w:sz w:val="20"/>
              </w:rPr>
            </w:pPr>
            <w:r>
              <w:rPr>
                <w:b/>
                <w:sz w:val="20"/>
              </w:rPr>
              <w:t xml:space="preserve">       </w:t>
            </w:r>
            <w:r w:rsidR="00397D3A" w:rsidRPr="0017137F">
              <w:rPr>
                <w:b/>
                <w:sz w:val="20"/>
              </w:rPr>
              <w:t>RM’000</w:t>
            </w:r>
          </w:p>
        </w:tc>
        <w:tc>
          <w:tcPr>
            <w:tcW w:w="1440" w:type="dxa"/>
          </w:tcPr>
          <w:p w:rsidR="00397D3A" w:rsidRDefault="00397D3A" w:rsidP="00095C20">
            <w:pPr>
              <w:pStyle w:val="BodyText"/>
              <w:tabs>
                <w:tab w:val="left" w:pos="360"/>
                <w:tab w:val="left" w:pos="540"/>
                <w:tab w:val="left" w:pos="630"/>
                <w:tab w:val="left" w:pos="1080"/>
              </w:tabs>
              <w:ind w:right="-450" w:hanging="108"/>
              <w:rPr>
                <w:b/>
                <w:sz w:val="20"/>
              </w:rPr>
            </w:pPr>
          </w:p>
        </w:tc>
      </w:tr>
      <w:tr w:rsidR="00397D3A" w:rsidRPr="0017137F" w:rsidTr="00397D3A">
        <w:trPr>
          <w:gridAfter w:val="2"/>
          <w:wAfter w:w="1710" w:type="dxa"/>
        </w:trPr>
        <w:tc>
          <w:tcPr>
            <w:tcW w:w="3960" w:type="dxa"/>
          </w:tcPr>
          <w:p w:rsidR="00397D3A" w:rsidRPr="0017137F" w:rsidRDefault="00397D3A" w:rsidP="009F66C4">
            <w:pPr>
              <w:pStyle w:val="BodyText"/>
              <w:tabs>
                <w:tab w:val="left" w:pos="360"/>
                <w:tab w:val="left" w:pos="540"/>
                <w:tab w:val="left" w:pos="630"/>
                <w:tab w:val="left" w:pos="1080"/>
              </w:tabs>
              <w:ind w:right="-450" w:hanging="108"/>
              <w:rPr>
                <w:b/>
                <w:sz w:val="20"/>
              </w:rPr>
            </w:pPr>
            <w:r w:rsidRPr="0017137F">
              <w:rPr>
                <w:b/>
                <w:sz w:val="20"/>
              </w:rPr>
              <w:t>Secured</w:t>
            </w:r>
          </w:p>
        </w:tc>
        <w:tc>
          <w:tcPr>
            <w:tcW w:w="1440" w:type="dxa"/>
            <w:gridSpan w:val="2"/>
          </w:tcPr>
          <w:p w:rsidR="00397D3A" w:rsidRPr="0017137F" w:rsidRDefault="00397D3A" w:rsidP="009F66C4">
            <w:pPr>
              <w:pStyle w:val="BodyText"/>
              <w:tabs>
                <w:tab w:val="left" w:pos="360"/>
                <w:tab w:val="left" w:pos="540"/>
                <w:tab w:val="left" w:pos="630"/>
                <w:tab w:val="left" w:pos="1080"/>
              </w:tabs>
              <w:ind w:right="-450" w:hanging="108"/>
              <w:jc w:val="center"/>
              <w:rPr>
                <w:sz w:val="20"/>
              </w:rPr>
            </w:pPr>
          </w:p>
        </w:tc>
        <w:tc>
          <w:tcPr>
            <w:tcW w:w="1260" w:type="dxa"/>
          </w:tcPr>
          <w:p w:rsidR="00397D3A" w:rsidRPr="0017137F" w:rsidRDefault="00397D3A" w:rsidP="009F66C4">
            <w:pPr>
              <w:pStyle w:val="BodyText"/>
              <w:tabs>
                <w:tab w:val="left" w:pos="360"/>
                <w:tab w:val="left" w:pos="540"/>
                <w:tab w:val="left" w:pos="630"/>
                <w:tab w:val="left" w:pos="1080"/>
              </w:tabs>
              <w:ind w:right="-450" w:hanging="108"/>
              <w:jc w:val="center"/>
              <w:rPr>
                <w:sz w:val="20"/>
              </w:rPr>
            </w:pPr>
          </w:p>
        </w:tc>
        <w:tc>
          <w:tcPr>
            <w:tcW w:w="1440" w:type="dxa"/>
            <w:gridSpan w:val="2"/>
          </w:tcPr>
          <w:p w:rsidR="00397D3A" w:rsidRPr="0017137F" w:rsidRDefault="00397D3A" w:rsidP="0093220F">
            <w:pPr>
              <w:pStyle w:val="BodyText"/>
              <w:tabs>
                <w:tab w:val="left" w:pos="360"/>
                <w:tab w:val="left" w:pos="540"/>
                <w:tab w:val="left" w:pos="630"/>
                <w:tab w:val="left" w:pos="1080"/>
              </w:tabs>
              <w:ind w:right="-450" w:hanging="108"/>
              <w:jc w:val="center"/>
              <w:rPr>
                <w:sz w:val="20"/>
              </w:rPr>
            </w:pPr>
          </w:p>
        </w:tc>
      </w:tr>
      <w:tr w:rsidR="00397D3A" w:rsidRPr="0017137F" w:rsidTr="00397D3A">
        <w:trPr>
          <w:gridAfter w:val="2"/>
          <w:wAfter w:w="1710" w:type="dxa"/>
        </w:trPr>
        <w:tc>
          <w:tcPr>
            <w:tcW w:w="3960" w:type="dxa"/>
          </w:tcPr>
          <w:p w:rsidR="00397D3A" w:rsidRPr="0017137F" w:rsidRDefault="00397D3A" w:rsidP="009F3412">
            <w:pPr>
              <w:pStyle w:val="BodyText"/>
              <w:tabs>
                <w:tab w:val="left" w:pos="360"/>
                <w:tab w:val="left" w:pos="540"/>
                <w:tab w:val="left" w:pos="630"/>
                <w:tab w:val="left" w:pos="1080"/>
              </w:tabs>
              <w:ind w:right="-450" w:hanging="108"/>
              <w:rPr>
                <w:sz w:val="20"/>
              </w:rPr>
            </w:pPr>
            <w:r w:rsidRPr="0017137F">
              <w:rPr>
                <w:sz w:val="20"/>
              </w:rPr>
              <w:t xml:space="preserve"> - Hire purchase and lease payable</w:t>
            </w:r>
          </w:p>
        </w:tc>
        <w:tc>
          <w:tcPr>
            <w:tcW w:w="1440" w:type="dxa"/>
            <w:gridSpan w:val="2"/>
          </w:tcPr>
          <w:p w:rsidR="00397D3A" w:rsidRPr="00E725C8" w:rsidRDefault="00397D3A" w:rsidP="00E725C8">
            <w:pPr>
              <w:pStyle w:val="BodyText"/>
              <w:tabs>
                <w:tab w:val="left" w:pos="360"/>
                <w:tab w:val="left" w:pos="540"/>
                <w:tab w:val="left" w:pos="630"/>
                <w:tab w:val="left" w:pos="1080"/>
              </w:tabs>
              <w:ind w:right="-450" w:hanging="108"/>
              <w:rPr>
                <w:sz w:val="20"/>
              </w:rPr>
            </w:pPr>
            <w:r w:rsidRPr="00E725C8">
              <w:rPr>
                <w:sz w:val="20"/>
              </w:rPr>
              <w:t xml:space="preserve">          26,418</w:t>
            </w:r>
          </w:p>
        </w:tc>
        <w:tc>
          <w:tcPr>
            <w:tcW w:w="1260" w:type="dxa"/>
          </w:tcPr>
          <w:p w:rsidR="00397D3A" w:rsidRPr="00E725C8" w:rsidRDefault="00397D3A" w:rsidP="00E725C8">
            <w:pPr>
              <w:pStyle w:val="BodyText"/>
              <w:tabs>
                <w:tab w:val="left" w:pos="360"/>
                <w:tab w:val="left" w:pos="540"/>
                <w:tab w:val="left" w:pos="630"/>
                <w:tab w:val="left" w:pos="1080"/>
              </w:tabs>
              <w:ind w:right="-450" w:hanging="108"/>
              <w:rPr>
                <w:sz w:val="20"/>
              </w:rPr>
            </w:pPr>
            <w:r>
              <w:rPr>
                <w:sz w:val="20"/>
              </w:rPr>
              <w:t xml:space="preserve">               -</w:t>
            </w:r>
          </w:p>
        </w:tc>
        <w:tc>
          <w:tcPr>
            <w:tcW w:w="1440" w:type="dxa"/>
            <w:gridSpan w:val="2"/>
          </w:tcPr>
          <w:p w:rsidR="00397D3A" w:rsidRPr="00E725C8" w:rsidRDefault="00397D3A" w:rsidP="0093220F">
            <w:pPr>
              <w:pStyle w:val="BodyText"/>
              <w:tabs>
                <w:tab w:val="left" w:pos="360"/>
                <w:tab w:val="left" w:pos="540"/>
                <w:tab w:val="left" w:pos="630"/>
                <w:tab w:val="left" w:pos="1080"/>
              </w:tabs>
              <w:ind w:right="-450" w:hanging="108"/>
              <w:rPr>
                <w:sz w:val="20"/>
              </w:rPr>
            </w:pPr>
            <w:r w:rsidRPr="00E725C8">
              <w:rPr>
                <w:sz w:val="20"/>
              </w:rPr>
              <w:t xml:space="preserve">          </w:t>
            </w:r>
            <w:r>
              <w:rPr>
                <w:sz w:val="20"/>
              </w:rPr>
              <w:t xml:space="preserve">    </w:t>
            </w:r>
            <w:r w:rsidRPr="00E725C8">
              <w:rPr>
                <w:sz w:val="20"/>
              </w:rPr>
              <w:t>26,418</w:t>
            </w:r>
          </w:p>
        </w:tc>
      </w:tr>
      <w:tr w:rsidR="00397D3A" w:rsidRPr="0017137F" w:rsidTr="00397D3A">
        <w:trPr>
          <w:gridAfter w:val="2"/>
          <w:wAfter w:w="1710" w:type="dxa"/>
        </w:trPr>
        <w:tc>
          <w:tcPr>
            <w:tcW w:w="3960" w:type="dxa"/>
          </w:tcPr>
          <w:p w:rsidR="00397D3A" w:rsidRPr="0017137F" w:rsidRDefault="00397D3A" w:rsidP="009F66C4">
            <w:pPr>
              <w:pStyle w:val="BodyText"/>
              <w:tabs>
                <w:tab w:val="left" w:pos="360"/>
                <w:tab w:val="left" w:pos="540"/>
                <w:tab w:val="left" w:pos="630"/>
                <w:tab w:val="left" w:pos="1080"/>
              </w:tabs>
              <w:ind w:right="-450" w:hanging="108"/>
              <w:rPr>
                <w:sz w:val="20"/>
              </w:rPr>
            </w:pPr>
            <w:r w:rsidRPr="0017137F">
              <w:rPr>
                <w:sz w:val="20"/>
              </w:rPr>
              <w:t xml:space="preserve"> - Term loans</w:t>
            </w:r>
          </w:p>
        </w:tc>
        <w:tc>
          <w:tcPr>
            <w:tcW w:w="1440" w:type="dxa"/>
            <w:gridSpan w:val="2"/>
          </w:tcPr>
          <w:p w:rsidR="00397D3A" w:rsidRPr="00E725C8" w:rsidRDefault="00397D3A" w:rsidP="00E725C8">
            <w:pPr>
              <w:pStyle w:val="BodyText"/>
              <w:tabs>
                <w:tab w:val="left" w:pos="360"/>
                <w:tab w:val="left" w:pos="540"/>
                <w:tab w:val="left" w:pos="630"/>
                <w:tab w:val="left" w:pos="1080"/>
              </w:tabs>
              <w:ind w:right="-450" w:hanging="108"/>
              <w:rPr>
                <w:sz w:val="20"/>
              </w:rPr>
            </w:pPr>
            <w:r w:rsidRPr="00E725C8">
              <w:rPr>
                <w:sz w:val="20"/>
              </w:rPr>
              <w:t xml:space="preserve">        374,487</w:t>
            </w:r>
          </w:p>
        </w:tc>
        <w:tc>
          <w:tcPr>
            <w:tcW w:w="1260" w:type="dxa"/>
          </w:tcPr>
          <w:p w:rsidR="00397D3A" w:rsidRPr="00E725C8" w:rsidRDefault="00397D3A" w:rsidP="00E725C8">
            <w:pPr>
              <w:pStyle w:val="BodyText"/>
              <w:tabs>
                <w:tab w:val="left" w:pos="360"/>
                <w:tab w:val="left" w:pos="540"/>
                <w:tab w:val="left" w:pos="630"/>
                <w:tab w:val="left" w:pos="1080"/>
              </w:tabs>
              <w:ind w:right="-450" w:hanging="108"/>
              <w:rPr>
                <w:sz w:val="20"/>
              </w:rPr>
            </w:pPr>
            <w:r>
              <w:rPr>
                <w:sz w:val="20"/>
              </w:rPr>
              <w:t xml:space="preserve">               -</w:t>
            </w:r>
          </w:p>
        </w:tc>
        <w:tc>
          <w:tcPr>
            <w:tcW w:w="1440" w:type="dxa"/>
            <w:gridSpan w:val="2"/>
          </w:tcPr>
          <w:p w:rsidR="00397D3A" w:rsidRPr="00E725C8" w:rsidRDefault="00397D3A" w:rsidP="0093220F">
            <w:pPr>
              <w:pStyle w:val="BodyText"/>
              <w:tabs>
                <w:tab w:val="left" w:pos="360"/>
                <w:tab w:val="left" w:pos="540"/>
                <w:tab w:val="left" w:pos="630"/>
                <w:tab w:val="left" w:pos="1080"/>
              </w:tabs>
              <w:ind w:right="-450" w:hanging="108"/>
              <w:rPr>
                <w:sz w:val="20"/>
              </w:rPr>
            </w:pPr>
            <w:r w:rsidRPr="00E725C8">
              <w:rPr>
                <w:sz w:val="20"/>
              </w:rPr>
              <w:t xml:space="preserve">        </w:t>
            </w:r>
            <w:r>
              <w:rPr>
                <w:sz w:val="20"/>
              </w:rPr>
              <w:t xml:space="preserve">    </w:t>
            </w:r>
            <w:r w:rsidRPr="00E725C8">
              <w:rPr>
                <w:sz w:val="20"/>
              </w:rPr>
              <w:t>374,487</w:t>
            </w:r>
          </w:p>
        </w:tc>
      </w:tr>
      <w:tr w:rsidR="00397D3A" w:rsidRPr="0017137F" w:rsidTr="00397D3A">
        <w:trPr>
          <w:gridAfter w:val="2"/>
          <w:wAfter w:w="1710" w:type="dxa"/>
        </w:trPr>
        <w:tc>
          <w:tcPr>
            <w:tcW w:w="3960" w:type="dxa"/>
          </w:tcPr>
          <w:p w:rsidR="00397D3A" w:rsidRPr="0017137F" w:rsidRDefault="00397D3A" w:rsidP="00010D7A">
            <w:pPr>
              <w:pStyle w:val="BodyText"/>
              <w:tabs>
                <w:tab w:val="left" w:pos="360"/>
                <w:tab w:val="left" w:pos="540"/>
                <w:tab w:val="left" w:pos="630"/>
                <w:tab w:val="left" w:pos="1080"/>
              </w:tabs>
              <w:ind w:right="-450" w:hanging="108"/>
              <w:rPr>
                <w:b/>
                <w:sz w:val="20"/>
              </w:rPr>
            </w:pPr>
            <w:r w:rsidRPr="0017137F">
              <w:rPr>
                <w:sz w:val="20"/>
              </w:rPr>
              <w:t xml:space="preserve"> - Medium term notes</w:t>
            </w:r>
          </w:p>
        </w:tc>
        <w:tc>
          <w:tcPr>
            <w:tcW w:w="1440" w:type="dxa"/>
            <w:gridSpan w:val="2"/>
            <w:tcBorders>
              <w:bottom w:val="single" w:sz="8" w:space="0" w:color="000000"/>
            </w:tcBorders>
          </w:tcPr>
          <w:p w:rsidR="00397D3A" w:rsidRPr="00E725C8" w:rsidRDefault="00397D3A" w:rsidP="00397D3A">
            <w:pPr>
              <w:pStyle w:val="BodyText"/>
              <w:tabs>
                <w:tab w:val="left" w:pos="360"/>
                <w:tab w:val="left" w:pos="540"/>
                <w:tab w:val="left" w:pos="630"/>
                <w:tab w:val="left" w:pos="1080"/>
              </w:tabs>
              <w:ind w:right="-450" w:hanging="108"/>
              <w:rPr>
                <w:sz w:val="20"/>
              </w:rPr>
            </w:pPr>
            <w:r>
              <w:rPr>
                <w:sz w:val="20"/>
              </w:rPr>
              <w:t xml:space="preserve">    </w:t>
            </w:r>
            <w:r w:rsidRPr="00E725C8">
              <w:rPr>
                <w:sz w:val="20"/>
              </w:rPr>
              <w:t xml:space="preserve">          </w:t>
            </w:r>
            <w:r>
              <w:rPr>
                <w:sz w:val="20"/>
              </w:rPr>
              <w:t>-</w:t>
            </w:r>
          </w:p>
        </w:tc>
        <w:tc>
          <w:tcPr>
            <w:tcW w:w="1260" w:type="dxa"/>
            <w:tcBorders>
              <w:bottom w:val="single" w:sz="8" w:space="0" w:color="000000"/>
            </w:tcBorders>
          </w:tcPr>
          <w:p w:rsidR="00397D3A" w:rsidRPr="00E725C8" w:rsidRDefault="00397D3A" w:rsidP="00E725C8">
            <w:pPr>
              <w:pStyle w:val="BodyText"/>
              <w:tabs>
                <w:tab w:val="left" w:pos="360"/>
                <w:tab w:val="left" w:pos="540"/>
                <w:tab w:val="left" w:pos="630"/>
                <w:tab w:val="left" w:pos="1080"/>
              </w:tabs>
              <w:ind w:right="-450" w:hanging="108"/>
              <w:rPr>
                <w:sz w:val="20"/>
              </w:rPr>
            </w:pPr>
            <w:r>
              <w:rPr>
                <w:sz w:val="20"/>
              </w:rPr>
              <w:t xml:space="preserve">           20,000</w:t>
            </w:r>
          </w:p>
        </w:tc>
        <w:tc>
          <w:tcPr>
            <w:tcW w:w="1440" w:type="dxa"/>
            <w:gridSpan w:val="2"/>
            <w:tcBorders>
              <w:bottom w:val="single" w:sz="8" w:space="0" w:color="000000"/>
            </w:tcBorders>
          </w:tcPr>
          <w:p w:rsidR="00397D3A" w:rsidRPr="00E725C8" w:rsidRDefault="00397D3A" w:rsidP="0093220F">
            <w:pPr>
              <w:pStyle w:val="BodyText"/>
              <w:tabs>
                <w:tab w:val="left" w:pos="360"/>
                <w:tab w:val="left" w:pos="540"/>
                <w:tab w:val="left" w:pos="630"/>
                <w:tab w:val="left" w:pos="1080"/>
              </w:tabs>
              <w:ind w:right="-450" w:hanging="108"/>
              <w:rPr>
                <w:sz w:val="20"/>
              </w:rPr>
            </w:pPr>
            <w:r w:rsidRPr="00E725C8">
              <w:rPr>
                <w:sz w:val="20"/>
              </w:rPr>
              <w:t xml:space="preserve">          </w:t>
            </w:r>
            <w:r>
              <w:rPr>
                <w:sz w:val="20"/>
              </w:rPr>
              <w:t xml:space="preserve">    </w:t>
            </w:r>
            <w:r w:rsidRPr="00E725C8">
              <w:rPr>
                <w:sz w:val="20"/>
              </w:rPr>
              <w:t>20,000</w:t>
            </w:r>
          </w:p>
        </w:tc>
      </w:tr>
      <w:tr w:rsidR="00397D3A" w:rsidRPr="0017137F" w:rsidTr="00397D3A">
        <w:trPr>
          <w:gridAfter w:val="2"/>
          <w:wAfter w:w="1710" w:type="dxa"/>
        </w:trPr>
        <w:tc>
          <w:tcPr>
            <w:tcW w:w="3960" w:type="dxa"/>
          </w:tcPr>
          <w:p w:rsidR="00397D3A" w:rsidRPr="0017137F" w:rsidRDefault="00397D3A" w:rsidP="009F3412">
            <w:pPr>
              <w:pStyle w:val="BodyText"/>
              <w:tabs>
                <w:tab w:val="left" w:pos="360"/>
                <w:tab w:val="left" w:pos="540"/>
                <w:tab w:val="left" w:pos="630"/>
                <w:tab w:val="left" w:pos="1080"/>
              </w:tabs>
              <w:ind w:right="-450" w:hanging="108"/>
              <w:rPr>
                <w:sz w:val="20"/>
              </w:rPr>
            </w:pPr>
            <w:r w:rsidRPr="0017137F">
              <w:rPr>
                <w:sz w:val="20"/>
              </w:rPr>
              <w:t xml:space="preserve"> </w:t>
            </w:r>
          </w:p>
        </w:tc>
        <w:tc>
          <w:tcPr>
            <w:tcW w:w="1440" w:type="dxa"/>
            <w:gridSpan w:val="2"/>
            <w:tcBorders>
              <w:top w:val="single" w:sz="8" w:space="0" w:color="000000"/>
              <w:bottom w:val="single" w:sz="12" w:space="0" w:color="000000"/>
            </w:tcBorders>
          </w:tcPr>
          <w:p w:rsidR="00397D3A" w:rsidRPr="00E725C8" w:rsidRDefault="00397D3A" w:rsidP="00397D3A">
            <w:pPr>
              <w:pStyle w:val="BodyText"/>
              <w:tabs>
                <w:tab w:val="left" w:pos="360"/>
                <w:tab w:val="left" w:pos="540"/>
                <w:tab w:val="left" w:pos="630"/>
                <w:tab w:val="left" w:pos="1080"/>
              </w:tabs>
              <w:ind w:right="-450" w:hanging="108"/>
              <w:rPr>
                <w:sz w:val="20"/>
              </w:rPr>
            </w:pPr>
            <w:r w:rsidRPr="00E725C8">
              <w:rPr>
                <w:sz w:val="20"/>
              </w:rPr>
              <w:t xml:space="preserve">        4</w:t>
            </w:r>
            <w:r>
              <w:rPr>
                <w:sz w:val="20"/>
              </w:rPr>
              <w:t>0</w:t>
            </w:r>
            <w:r w:rsidRPr="00E725C8">
              <w:rPr>
                <w:sz w:val="20"/>
              </w:rPr>
              <w:t>0,905</w:t>
            </w:r>
          </w:p>
        </w:tc>
        <w:tc>
          <w:tcPr>
            <w:tcW w:w="1260" w:type="dxa"/>
            <w:tcBorders>
              <w:top w:val="single" w:sz="8" w:space="0" w:color="000000"/>
              <w:bottom w:val="single" w:sz="12" w:space="0" w:color="000000"/>
            </w:tcBorders>
          </w:tcPr>
          <w:p w:rsidR="00397D3A" w:rsidRPr="00E725C8" w:rsidRDefault="00397D3A" w:rsidP="00095C20">
            <w:pPr>
              <w:pStyle w:val="BodyText"/>
              <w:tabs>
                <w:tab w:val="left" w:pos="360"/>
                <w:tab w:val="left" w:pos="540"/>
                <w:tab w:val="left" w:pos="630"/>
                <w:tab w:val="left" w:pos="1080"/>
              </w:tabs>
              <w:ind w:right="-450" w:hanging="108"/>
              <w:rPr>
                <w:sz w:val="20"/>
              </w:rPr>
            </w:pPr>
            <w:r>
              <w:rPr>
                <w:sz w:val="20"/>
              </w:rPr>
              <w:t xml:space="preserve">           20,000</w:t>
            </w:r>
          </w:p>
        </w:tc>
        <w:tc>
          <w:tcPr>
            <w:tcW w:w="1440" w:type="dxa"/>
            <w:gridSpan w:val="2"/>
            <w:tcBorders>
              <w:top w:val="single" w:sz="8" w:space="0" w:color="000000"/>
              <w:bottom w:val="single" w:sz="12" w:space="0" w:color="000000"/>
            </w:tcBorders>
          </w:tcPr>
          <w:p w:rsidR="00397D3A" w:rsidRPr="00E725C8" w:rsidRDefault="00397D3A" w:rsidP="0093220F">
            <w:pPr>
              <w:pStyle w:val="BodyText"/>
              <w:tabs>
                <w:tab w:val="left" w:pos="360"/>
                <w:tab w:val="left" w:pos="540"/>
                <w:tab w:val="left" w:pos="630"/>
                <w:tab w:val="left" w:pos="1080"/>
              </w:tabs>
              <w:ind w:right="-450" w:hanging="108"/>
              <w:rPr>
                <w:sz w:val="20"/>
              </w:rPr>
            </w:pPr>
            <w:r w:rsidRPr="00E725C8">
              <w:rPr>
                <w:sz w:val="20"/>
              </w:rPr>
              <w:t xml:space="preserve">        </w:t>
            </w:r>
            <w:r>
              <w:rPr>
                <w:sz w:val="20"/>
              </w:rPr>
              <w:t xml:space="preserve">    </w:t>
            </w:r>
            <w:r w:rsidRPr="00E725C8">
              <w:rPr>
                <w:sz w:val="20"/>
              </w:rPr>
              <w:t>420,905</w:t>
            </w:r>
          </w:p>
        </w:tc>
      </w:tr>
    </w:tbl>
    <w:p w:rsidR="00473ABE" w:rsidRDefault="00473ABE" w:rsidP="009F66C4">
      <w:pPr>
        <w:pStyle w:val="BodyText"/>
        <w:tabs>
          <w:tab w:val="left" w:pos="540"/>
          <w:tab w:val="left" w:pos="630"/>
          <w:tab w:val="left" w:pos="1080"/>
        </w:tabs>
        <w:ind w:left="-900" w:right="-450"/>
        <w:rPr>
          <w:sz w:val="20"/>
        </w:rPr>
      </w:pPr>
    </w:p>
    <w:p w:rsidR="00B51CA3" w:rsidRDefault="00B51CA3" w:rsidP="009F66C4">
      <w:pPr>
        <w:pStyle w:val="BodyText"/>
        <w:tabs>
          <w:tab w:val="left" w:pos="540"/>
          <w:tab w:val="left" w:pos="630"/>
          <w:tab w:val="left" w:pos="1080"/>
        </w:tabs>
        <w:ind w:left="-900" w:right="-450"/>
        <w:rPr>
          <w:sz w:val="20"/>
        </w:rPr>
      </w:pPr>
    </w:p>
    <w:p w:rsidR="00B51CA3" w:rsidRDefault="00B51CA3" w:rsidP="009F66C4">
      <w:pPr>
        <w:pStyle w:val="BodyText"/>
        <w:tabs>
          <w:tab w:val="left" w:pos="540"/>
          <w:tab w:val="left" w:pos="630"/>
          <w:tab w:val="left" w:pos="1080"/>
        </w:tabs>
        <w:ind w:left="-900" w:right="-450"/>
        <w:rPr>
          <w:sz w:val="20"/>
        </w:rPr>
      </w:pPr>
    </w:p>
    <w:p w:rsidR="00B51CA3" w:rsidRDefault="00B51CA3" w:rsidP="009F66C4">
      <w:pPr>
        <w:pStyle w:val="BodyText"/>
        <w:tabs>
          <w:tab w:val="left" w:pos="540"/>
          <w:tab w:val="left" w:pos="630"/>
          <w:tab w:val="left" w:pos="1080"/>
        </w:tabs>
        <w:ind w:left="-900" w:right="-450"/>
        <w:rPr>
          <w:sz w:val="20"/>
        </w:rPr>
      </w:pPr>
    </w:p>
    <w:p w:rsidR="00B51CA3" w:rsidRDefault="00B51CA3" w:rsidP="009F66C4">
      <w:pPr>
        <w:pStyle w:val="BodyText"/>
        <w:tabs>
          <w:tab w:val="left" w:pos="540"/>
          <w:tab w:val="left" w:pos="630"/>
          <w:tab w:val="left" w:pos="1080"/>
        </w:tabs>
        <w:ind w:left="-900" w:right="-450"/>
        <w:rPr>
          <w:sz w:val="20"/>
        </w:rPr>
      </w:pPr>
    </w:p>
    <w:p w:rsidR="00B51CA3" w:rsidRDefault="00B51CA3" w:rsidP="009F66C4">
      <w:pPr>
        <w:pStyle w:val="BodyText"/>
        <w:tabs>
          <w:tab w:val="left" w:pos="540"/>
          <w:tab w:val="left" w:pos="630"/>
          <w:tab w:val="left" w:pos="1080"/>
        </w:tabs>
        <w:ind w:left="-900" w:right="-450"/>
        <w:rPr>
          <w:sz w:val="20"/>
        </w:rPr>
      </w:pPr>
    </w:p>
    <w:p w:rsidR="00B51CA3" w:rsidRDefault="00B51CA3" w:rsidP="009F66C4">
      <w:pPr>
        <w:pStyle w:val="BodyText"/>
        <w:tabs>
          <w:tab w:val="left" w:pos="540"/>
          <w:tab w:val="left" w:pos="630"/>
          <w:tab w:val="left" w:pos="1080"/>
        </w:tabs>
        <w:ind w:left="-900" w:right="-450"/>
        <w:rPr>
          <w:sz w:val="20"/>
        </w:rPr>
      </w:pPr>
    </w:p>
    <w:p w:rsidR="0059386B" w:rsidRPr="0017137F" w:rsidRDefault="007341B1" w:rsidP="009F66C4">
      <w:pPr>
        <w:pStyle w:val="BodyText"/>
        <w:numPr>
          <w:ilvl w:val="0"/>
          <w:numId w:val="1"/>
        </w:numPr>
        <w:tabs>
          <w:tab w:val="left" w:pos="360"/>
          <w:tab w:val="left" w:pos="540"/>
          <w:tab w:val="left" w:pos="630"/>
          <w:tab w:val="num" w:pos="900"/>
          <w:tab w:val="left" w:pos="1080"/>
        </w:tabs>
        <w:ind w:left="900" w:right="-450" w:hanging="450"/>
        <w:rPr>
          <w:sz w:val="20"/>
        </w:rPr>
      </w:pPr>
      <w:r w:rsidRPr="0017137F">
        <w:rPr>
          <w:b/>
          <w:sz w:val="20"/>
        </w:rPr>
        <w:t>S</w:t>
      </w:r>
      <w:r w:rsidR="0059386B" w:rsidRPr="0017137F">
        <w:rPr>
          <w:b/>
          <w:sz w:val="20"/>
        </w:rPr>
        <w:t xml:space="preserve">hort term </w:t>
      </w:r>
      <w:r w:rsidR="00F22956">
        <w:rPr>
          <w:b/>
          <w:sz w:val="20"/>
        </w:rPr>
        <w:t xml:space="preserve">loans and </w:t>
      </w:r>
      <w:r w:rsidR="0059386B" w:rsidRPr="0017137F">
        <w:rPr>
          <w:b/>
          <w:sz w:val="20"/>
        </w:rPr>
        <w:t>borrowings</w:t>
      </w:r>
      <w:r w:rsidR="00DB08A1" w:rsidRPr="0017137F">
        <w:rPr>
          <w:b/>
          <w:sz w:val="20"/>
        </w:rPr>
        <w:t xml:space="preserve"> </w:t>
      </w:r>
    </w:p>
    <w:p w:rsidR="0059386B" w:rsidRPr="0017137F" w:rsidRDefault="0059386B" w:rsidP="00491580">
      <w:pPr>
        <w:pStyle w:val="BodyText"/>
        <w:tabs>
          <w:tab w:val="left" w:pos="360"/>
          <w:tab w:val="left" w:pos="540"/>
          <w:tab w:val="left" w:pos="630"/>
          <w:tab w:val="left" w:pos="1080"/>
        </w:tabs>
        <w:ind w:right="-450" w:hanging="1800"/>
        <w:rPr>
          <w:b/>
          <w:sz w:val="20"/>
        </w:rPr>
      </w:pPr>
      <w:r w:rsidRPr="0017137F">
        <w:rPr>
          <w:b/>
          <w:sz w:val="20"/>
        </w:rPr>
        <w:tab/>
      </w:r>
      <w:r w:rsidRPr="0017137F">
        <w:rPr>
          <w:b/>
          <w:sz w:val="20"/>
        </w:rPr>
        <w:tab/>
      </w:r>
      <w:r w:rsidRPr="0017137F">
        <w:rPr>
          <w:b/>
          <w:sz w:val="20"/>
        </w:rPr>
        <w:tab/>
      </w:r>
      <w:r w:rsidRPr="0017137F">
        <w:rPr>
          <w:b/>
          <w:sz w:val="20"/>
        </w:rPr>
        <w:tab/>
      </w:r>
    </w:p>
    <w:tbl>
      <w:tblPr>
        <w:tblW w:w="8100" w:type="dxa"/>
        <w:tblInd w:w="1008" w:type="dxa"/>
        <w:tblLayout w:type="fixed"/>
        <w:tblLook w:val="0000"/>
      </w:tblPr>
      <w:tblGrid>
        <w:gridCol w:w="3960"/>
        <w:gridCol w:w="1440"/>
        <w:gridCol w:w="1440"/>
        <w:gridCol w:w="1260"/>
      </w:tblGrid>
      <w:tr w:rsidR="000C7921" w:rsidRPr="0017137F" w:rsidTr="000C7921">
        <w:tc>
          <w:tcPr>
            <w:tcW w:w="3960" w:type="dxa"/>
          </w:tcPr>
          <w:p w:rsidR="000C7921" w:rsidRPr="0017137F" w:rsidRDefault="000C7921" w:rsidP="009F66C4">
            <w:pPr>
              <w:pStyle w:val="BodyText"/>
              <w:tabs>
                <w:tab w:val="left" w:pos="360"/>
                <w:tab w:val="left" w:pos="540"/>
                <w:tab w:val="left" w:pos="630"/>
                <w:tab w:val="left" w:pos="1080"/>
              </w:tabs>
              <w:ind w:right="-108" w:hanging="108"/>
              <w:rPr>
                <w:b/>
                <w:sz w:val="20"/>
              </w:rPr>
            </w:pPr>
          </w:p>
        </w:tc>
        <w:tc>
          <w:tcPr>
            <w:tcW w:w="1440" w:type="dxa"/>
          </w:tcPr>
          <w:p w:rsidR="000C7921" w:rsidRDefault="000C7921" w:rsidP="009F66C4">
            <w:pPr>
              <w:pStyle w:val="BodyText"/>
              <w:tabs>
                <w:tab w:val="left" w:pos="360"/>
                <w:tab w:val="left" w:pos="540"/>
                <w:tab w:val="left" w:pos="630"/>
                <w:tab w:val="left" w:pos="1080"/>
              </w:tabs>
              <w:ind w:right="-108" w:hanging="108"/>
              <w:jc w:val="center"/>
              <w:rPr>
                <w:b/>
                <w:sz w:val="20"/>
              </w:rPr>
            </w:pPr>
            <w:r>
              <w:rPr>
                <w:b/>
                <w:sz w:val="20"/>
              </w:rPr>
              <w:t>Continuing</w:t>
            </w:r>
          </w:p>
          <w:p w:rsidR="000C7921" w:rsidRDefault="000C7921" w:rsidP="009F66C4">
            <w:pPr>
              <w:pStyle w:val="BodyText"/>
              <w:tabs>
                <w:tab w:val="left" w:pos="360"/>
                <w:tab w:val="left" w:pos="540"/>
                <w:tab w:val="left" w:pos="630"/>
                <w:tab w:val="left" w:pos="1080"/>
              </w:tabs>
              <w:ind w:right="-108" w:hanging="108"/>
              <w:jc w:val="center"/>
              <w:rPr>
                <w:b/>
                <w:sz w:val="20"/>
              </w:rPr>
            </w:pPr>
            <w:r>
              <w:rPr>
                <w:b/>
                <w:sz w:val="20"/>
              </w:rPr>
              <w:t>operations</w:t>
            </w:r>
          </w:p>
          <w:p w:rsidR="000C7921" w:rsidRPr="0017137F" w:rsidRDefault="000C7921" w:rsidP="009F66C4">
            <w:pPr>
              <w:pStyle w:val="BodyText"/>
              <w:tabs>
                <w:tab w:val="left" w:pos="360"/>
                <w:tab w:val="left" w:pos="540"/>
                <w:tab w:val="left" w:pos="630"/>
                <w:tab w:val="left" w:pos="1080"/>
              </w:tabs>
              <w:ind w:right="-108" w:hanging="108"/>
              <w:jc w:val="center"/>
              <w:rPr>
                <w:b/>
                <w:sz w:val="20"/>
              </w:rPr>
            </w:pPr>
            <w:r w:rsidRPr="0017137F">
              <w:rPr>
                <w:b/>
                <w:sz w:val="20"/>
              </w:rPr>
              <w:t>RM’000</w:t>
            </w:r>
          </w:p>
        </w:tc>
        <w:tc>
          <w:tcPr>
            <w:tcW w:w="1440" w:type="dxa"/>
          </w:tcPr>
          <w:p w:rsidR="000C7921" w:rsidRDefault="000C7921" w:rsidP="000C7921">
            <w:pPr>
              <w:pStyle w:val="BodyText"/>
              <w:tabs>
                <w:tab w:val="left" w:pos="360"/>
                <w:tab w:val="left" w:pos="540"/>
                <w:tab w:val="left" w:pos="630"/>
                <w:tab w:val="left" w:pos="1080"/>
              </w:tabs>
              <w:ind w:right="-450" w:hanging="108"/>
              <w:jc w:val="center"/>
              <w:rPr>
                <w:b/>
                <w:sz w:val="20"/>
              </w:rPr>
            </w:pPr>
            <w:r>
              <w:rPr>
                <w:b/>
                <w:sz w:val="20"/>
              </w:rPr>
              <w:t xml:space="preserve">Discontinued </w:t>
            </w:r>
          </w:p>
          <w:p w:rsidR="000C7921" w:rsidRDefault="000C7921" w:rsidP="000C7921">
            <w:pPr>
              <w:pStyle w:val="BodyText"/>
              <w:tabs>
                <w:tab w:val="left" w:pos="360"/>
                <w:tab w:val="left" w:pos="540"/>
                <w:tab w:val="left" w:pos="630"/>
                <w:tab w:val="left" w:pos="1080"/>
              </w:tabs>
              <w:ind w:right="-450" w:hanging="108"/>
              <w:jc w:val="center"/>
              <w:rPr>
                <w:b/>
                <w:sz w:val="20"/>
              </w:rPr>
            </w:pPr>
            <w:r>
              <w:rPr>
                <w:b/>
                <w:sz w:val="20"/>
              </w:rPr>
              <w:t>operation</w:t>
            </w:r>
          </w:p>
          <w:p w:rsidR="000C7921" w:rsidRPr="0017137F" w:rsidRDefault="000C7921" w:rsidP="000C7921">
            <w:pPr>
              <w:pStyle w:val="BodyText"/>
              <w:tabs>
                <w:tab w:val="left" w:pos="360"/>
                <w:tab w:val="left" w:pos="540"/>
                <w:tab w:val="left" w:pos="630"/>
                <w:tab w:val="left" w:pos="1080"/>
              </w:tabs>
              <w:ind w:right="-108" w:hanging="108"/>
              <w:jc w:val="center"/>
              <w:rPr>
                <w:b/>
                <w:sz w:val="20"/>
              </w:rPr>
            </w:pPr>
            <w:r>
              <w:rPr>
                <w:b/>
                <w:sz w:val="20"/>
              </w:rPr>
              <w:t xml:space="preserve">      </w:t>
            </w:r>
            <w:r w:rsidRPr="0017137F">
              <w:rPr>
                <w:b/>
                <w:sz w:val="20"/>
              </w:rPr>
              <w:t>RM’000</w:t>
            </w:r>
          </w:p>
        </w:tc>
        <w:tc>
          <w:tcPr>
            <w:tcW w:w="1260" w:type="dxa"/>
          </w:tcPr>
          <w:p w:rsidR="000C7921" w:rsidRDefault="000C7921" w:rsidP="000C7921">
            <w:pPr>
              <w:pStyle w:val="BodyText"/>
              <w:tabs>
                <w:tab w:val="left" w:pos="360"/>
                <w:tab w:val="left" w:pos="540"/>
                <w:tab w:val="left" w:pos="630"/>
                <w:tab w:val="left" w:pos="1080"/>
              </w:tabs>
              <w:ind w:right="-108" w:hanging="108"/>
              <w:jc w:val="center"/>
              <w:rPr>
                <w:b/>
                <w:sz w:val="20"/>
              </w:rPr>
            </w:pPr>
            <w:r>
              <w:rPr>
                <w:b/>
                <w:sz w:val="20"/>
              </w:rPr>
              <w:t xml:space="preserve">     </w:t>
            </w:r>
          </w:p>
          <w:p w:rsidR="000C7921" w:rsidRDefault="000C7921" w:rsidP="000C7921">
            <w:pPr>
              <w:pStyle w:val="BodyText"/>
              <w:tabs>
                <w:tab w:val="left" w:pos="360"/>
                <w:tab w:val="left" w:pos="540"/>
                <w:tab w:val="left" w:pos="630"/>
                <w:tab w:val="left" w:pos="1080"/>
              </w:tabs>
              <w:ind w:right="-108" w:hanging="108"/>
              <w:jc w:val="center"/>
              <w:rPr>
                <w:b/>
                <w:sz w:val="20"/>
              </w:rPr>
            </w:pPr>
            <w:r>
              <w:rPr>
                <w:b/>
                <w:sz w:val="20"/>
              </w:rPr>
              <w:t xml:space="preserve">    Total</w:t>
            </w:r>
          </w:p>
          <w:p w:rsidR="000C7921" w:rsidRPr="0017137F" w:rsidRDefault="000C7921" w:rsidP="000C7921">
            <w:pPr>
              <w:pStyle w:val="BodyText"/>
              <w:tabs>
                <w:tab w:val="left" w:pos="360"/>
                <w:tab w:val="left" w:pos="540"/>
                <w:tab w:val="left" w:pos="630"/>
                <w:tab w:val="left" w:pos="1080"/>
              </w:tabs>
              <w:ind w:right="-108" w:hanging="108"/>
              <w:jc w:val="center"/>
              <w:rPr>
                <w:b/>
                <w:sz w:val="20"/>
              </w:rPr>
            </w:pPr>
            <w:r>
              <w:rPr>
                <w:b/>
                <w:sz w:val="20"/>
              </w:rPr>
              <w:t xml:space="preserve">     </w:t>
            </w:r>
            <w:r w:rsidRPr="0017137F">
              <w:rPr>
                <w:b/>
                <w:sz w:val="20"/>
              </w:rPr>
              <w:t>RM’000</w:t>
            </w:r>
          </w:p>
        </w:tc>
      </w:tr>
      <w:tr w:rsidR="000C7921" w:rsidRPr="0017137F" w:rsidTr="000C7921">
        <w:tc>
          <w:tcPr>
            <w:tcW w:w="3960" w:type="dxa"/>
          </w:tcPr>
          <w:p w:rsidR="000C7921" w:rsidRPr="0017137F" w:rsidRDefault="000C7921" w:rsidP="009F66C4">
            <w:pPr>
              <w:pStyle w:val="BodyText"/>
              <w:tabs>
                <w:tab w:val="left" w:pos="360"/>
                <w:tab w:val="left" w:pos="540"/>
                <w:tab w:val="left" w:pos="630"/>
                <w:tab w:val="left" w:pos="1080"/>
              </w:tabs>
              <w:ind w:right="-108" w:hanging="108"/>
              <w:rPr>
                <w:b/>
                <w:sz w:val="20"/>
              </w:rPr>
            </w:pPr>
            <w:r w:rsidRPr="0017137F">
              <w:rPr>
                <w:b/>
                <w:sz w:val="20"/>
              </w:rPr>
              <w:t>Secured</w:t>
            </w:r>
          </w:p>
        </w:tc>
        <w:tc>
          <w:tcPr>
            <w:tcW w:w="1440" w:type="dxa"/>
          </w:tcPr>
          <w:p w:rsidR="000C7921" w:rsidRPr="0017137F" w:rsidRDefault="000C7921" w:rsidP="009F66C4">
            <w:pPr>
              <w:pStyle w:val="BodyText"/>
              <w:tabs>
                <w:tab w:val="left" w:pos="360"/>
                <w:tab w:val="left" w:pos="540"/>
                <w:tab w:val="left" w:pos="630"/>
                <w:tab w:val="left" w:pos="1080"/>
              </w:tabs>
              <w:ind w:right="-108" w:hanging="108"/>
              <w:jc w:val="center"/>
              <w:rPr>
                <w:b/>
                <w:sz w:val="20"/>
              </w:rPr>
            </w:pPr>
          </w:p>
        </w:tc>
        <w:tc>
          <w:tcPr>
            <w:tcW w:w="1440" w:type="dxa"/>
          </w:tcPr>
          <w:p w:rsidR="000C7921" w:rsidRPr="0017137F" w:rsidRDefault="000C7921" w:rsidP="009F66C4">
            <w:pPr>
              <w:pStyle w:val="BodyText"/>
              <w:tabs>
                <w:tab w:val="left" w:pos="360"/>
                <w:tab w:val="left" w:pos="540"/>
                <w:tab w:val="left" w:pos="630"/>
                <w:tab w:val="left" w:pos="1080"/>
              </w:tabs>
              <w:ind w:right="-108" w:hanging="108"/>
              <w:jc w:val="center"/>
              <w:rPr>
                <w:b/>
                <w:sz w:val="20"/>
              </w:rPr>
            </w:pPr>
          </w:p>
        </w:tc>
        <w:tc>
          <w:tcPr>
            <w:tcW w:w="1260" w:type="dxa"/>
          </w:tcPr>
          <w:p w:rsidR="000C7921" w:rsidRPr="0017137F" w:rsidRDefault="000C7921" w:rsidP="000C7921">
            <w:pPr>
              <w:pStyle w:val="BodyText"/>
              <w:tabs>
                <w:tab w:val="left" w:pos="360"/>
                <w:tab w:val="left" w:pos="540"/>
                <w:tab w:val="left" w:pos="630"/>
                <w:tab w:val="left" w:pos="1080"/>
              </w:tabs>
              <w:ind w:right="-108" w:hanging="108"/>
              <w:jc w:val="center"/>
              <w:rPr>
                <w:b/>
                <w:sz w:val="20"/>
              </w:rPr>
            </w:pPr>
          </w:p>
        </w:tc>
      </w:tr>
      <w:tr w:rsidR="000C7921" w:rsidRPr="00BE5EC2" w:rsidTr="000C7921">
        <w:tc>
          <w:tcPr>
            <w:tcW w:w="3960" w:type="dxa"/>
          </w:tcPr>
          <w:p w:rsidR="000C7921" w:rsidRPr="00BE5EC2" w:rsidRDefault="000C7921" w:rsidP="009F66C4">
            <w:pPr>
              <w:pStyle w:val="BodyText"/>
              <w:tabs>
                <w:tab w:val="left" w:pos="360"/>
                <w:tab w:val="left" w:pos="540"/>
                <w:tab w:val="left" w:pos="630"/>
                <w:tab w:val="left" w:pos="1080"/>
              </w:tabs>
              <w:ind w:right="-108" w:hanging="108"/>
              <w:rPr>
                <w:sz w:val="20"/>
              </w:rPr>
            </w:pPr>
            <w:r w:rsidRPr="0017137F">
              <w:rPr>
                <w:sz w:val="20"/>
              </w:rPr>
              <w:t xml:space="preserve"> </w:t>
            </w:r>
            <w:r w:rsidRPr="00BE5EC2">
              <w:rPr>
                <w:sz w:val="20"/>
              </w:rPr>
              <w:t>- Bank overdrafts</w:t>
            </w:r>
          </w:p>
        </w:tc>
        <w:tc>
          <w:tcPr>
            <w:tcW w:w="1440" w:type="dxa"/>
          </w:tcPr>
          <w:p w:rsidR="000C7921" w:rsidRPr="00792637" w:rsidRDefault="000C7921" w:rsidP="00341B97">
            <w:pPr>
              <w:pStyle w:val="BodyText"/>
              <w:tabs>
                <w:tab w:val="left" w:pos="360"/>
                <w:tab w:val="left" w:pos="540"/>
                <w:tab w:val="left" w:pos="630"/>
                <w:tab w:val="left" w:pos="1080"/>
              </w:tabs>
              <w:ind w:right="-108" w:hanging="108"/>
              <w:rPr>
                <w:sz w:val="20"/>
              </w:rPr>
            </w:pPr>
            <w:r w:rsidRPr="00792637">
              <w:rPr>
                <w:sz w:val="20"/>
              </w:rPr>
              <w:t xml:space="preserve">        4</w:t>
            </w:r>
            <w:r>
              <w:rPr>
                <w:sz w:val="20"/>
              </w:rPr>
              <w:t>13</w:t>
            </w:r>
            <w:r w:rsidRPr="00792637">
              <w:rPr>
                <w:sz w:val="20"/>
              </w:rPr>
              <w:t>,</w:t>
            </w:r>
            <w:r>
              <w:rPr>
                <w:sz w:val="20"/>
              </w:rPr>
              <w:t>199</w:t>
            </w:r>
          </w:p>
        </w:tc>
        <w:tc>
          <w:tcPr>
            <w:tcW w:w="1440" w:type="dxa"/>
          </w:tcPr>
          <w:p w:rsidR="000C7921" w:rsidRPr="00792637" w:rsidRDefault="000C7921" w:rsidP="000C7921">
            <w:pPr>
              <w:pStyle w:val="BodyText"/>
              <w:tabs>
                <w:tab w:val="left" w:pos="360"/>
                <w:tab w:val="left" w:pos="540"/>
                <w:tab w:val="left" w:pos="630"/>
                <w:tab w:val="left" w:pos="1080"/>
              </w:tabs>
              <w:ind w:right="-108" w:hanging="108"/>
              <w:jc w:val="center"/>
              <w:rPr>
                <w:sz w:val="20"/>
              </w:rPr>
            </w:pPr>
            <w:r>
              <w:rPr>
                <w:sz w:val="20"/>
              </w:rPr>
              <w:t xml:space="preserve">      -</w:t>
            </w:r>
          </w:p>
        </w:tc>
        <w:tc>
          <w:tcPr>
            <w:tcW w:w="1260" w:type="dxa"/>
          </w:tcPr>
          <w:p w:rsidR="000C7921" w:rsidRPr="00792637" w:rsidRDefault="000C7921" w:rsidP="000C7921">
            <w:pPr>
              <w:pStyle w:val="BodyText"/>
              <w:tabs>
                <w:tab w:val="left" w:pos="360"/>
                <w:tab w:val="left" w:pos="540"/>
                <w:tab w:val="left" w:pos="630"/>
                <w:tab w:val="left" w:pos="1080"/>
              </w:tabs>
              <w:ind w:right="-108" w:hanging="108"/>
              <w:rPr>
                <w:sz w:val="20"/>
              </w:rPr>
            </w:pPr>
            <w:r w:rsidRPr="00792637">
              <w:rPr>
                <w:sz w:val="20"/>
              </w:rPr>
              <w:t xml:space="preserve">        4</w:t>
            </w:r>
            <w:r>
              <w:rPr>
                <w:sz w:val="20"/>
              </w:rPr>
              <w:t>13</w:t>
            </w:r>
            <w:r w:rsidRPr="00792637">
              <w:rPr>
                <w:sz w:val="20"/>
              </w:rPr>
              <w:t>,</w:t>
            </w:r>
            <w:r>
              <w:rPr>
                <w:sz w:val="20"/>
              </w:rPr>
              <w:t>199</w:t>
            </w:r>
          </w:p>
        </w:tc>
      </w:tr>
      <w:tr w:rsidR="000C7921" w:rsidRPr="00BE5EC2" w:rsidTr="000C7921">
        <w:tc>
          <w:tcPr>
            <w:tcW w:w="3960" w:type="dxa"/>
          </w:tcPr>
          <w:p w:rsidR="000C7921" w:rsidRPr="00BE5EC2" w:rsidRDefault="000C7921" w:rsidP="009F66C4">
            <w:pPr>
              <w:pStyle w:val="BodyText"/>
              <w:tabs>
                <w:tab w:val="left" w:pos="360"/>
                <w:tab w:val="left" w:pos="540"/>
                <w:tab w:val="left" w:pos="630"/>
                <w:tab w:val="left" w:pos="1080"/>
              </w:tabs>
              <w:ind w:right="-108" w:hanging="108"/>
              <w:rPr>
                <w:sz w:val="20"/>
              </w:rPr>
            </w:pPr>
            <w:r w:rsidRPr="00BE5EC2">
              <w:rPr>
                <w:sz w:val="20"/>
              </w:rPr>
              <w:t xml:space="preserve"> - Revolving credits</w:t>
            </w:r>
          </w:p>
        </w:tc>
        <w:tc>
          <w:tcPr>
            <w:tcW w:w="1440" w:type="dxa"/>
          </w:tcPr>
          <w:p w:rsidR="000C7921" w:rsidRPr="00792637" w:rsidRDefault="000C7921" w:rsidP="000C7921">
            <w:pPr>
              <w:pStyle w:val="BodyText"/>
              <w:tabs>
                <w:tab w:val="left" w:pos="360"/>
                <w:tab w:val="left" w:pos="540"/>
                <w:tab w:val="left" w:pos="630"/>
                <w:tab w:val="left" w:pos="1080"/>
              </w:tabs>
              <w:ind w:right="-108" w:hanging="108"/>
              <w:jc w:val="center"/>
              <w:rPr>
                <w:sz w:val="20"/>
              </w:rPr>
            </w:pPr>
            <w:r>
              <w:rPr>
                <w:sz w:val="20"/>
              </w:rPr>
              <w:t xml:space="preserve"> </w:t>
            </w:r>
            <w:r w:rsidRPr="00792637">
              <w:rPr>
                <w:sz w:val="20"/>
              </w:rPr>
              <w:t xml:space="preserve">  </w:t>
            </w:r>
            <w:r>
              <w:rPr>
                <w:sz w:val="20"/>
              </w:rPr>
              <w:t>24,358</w:t>
            </w:r>
          </w:p>
        </w:tc>
        <w:tc>
          <w:tcPr>
            <w:tcW w:w="1440" w:type="dxa"/>
          </w:tcPr>
          <w:p w:rsidR="000C7921" w:rsidRPr="00792637" w:rsidRDefault="000C7921" w:rsidP="000C7921">
            <w:pPr>
              <w:pStyle w:val="BodyText"/>
              <w:tabs>
                <w:tab w:val="left" w:pos="360"/>
                <w:tab w:val="left" w:pos="540"/>
                <w:tab w:val="left" w:pos="630"/>
                <w:tab w:val="left" w:pos="1080"/>
              </w:tabs>
              <w:ind w:right="-108" w:hanging="108"/>
              <w:jc w:val="center"/>
              <w:rPr>
                <w:sz w:val="20"/>
              </w:rPr>
            </w:pPr>
            <w:r>
              <w:rPr>
                <w:sz w:val="20"/>
              </w:rPr>
              <w:t xml:space="preserve">      206,315</w:t>
            </w:r>
          </w:p>
        </w:tc>
        <w:tc>
          <w:tcPr>
            <w:tcW w:w="1260" w:type="dxa"/>
          </w:tcPr>
          <w:p w:rsidR="000C7921" w:rsidRPr="00792637" w:rsidRDefault="000C7921" w:rsidP="000C7921">
            <w:pPr>
              <w:pStyle w:val="BodyText"/>
              <w:tabs>
                <w:tab w:val="left" w:pos="360"/>
                <w:tab w:val="left" w:pos="540"/>
                <w:tab w:val="left" w:pos="630"/>
                <w:tab w:val="left" w:pos="1080"/>
              </w:tabs>
              <w:ind w:right="-108" w:hanging="108"/>
              <w:jc w:val="center"/>
              <w:rPr>
                <w:sz w:val="20"/>
              </w:rPr>
            </w:pPr>
            <w:r w:rsidRPr="00792637">
              <w:rPr>
                <w:sz w:val="20"/>
              </w:rPr>
              <w:t xml:space="preserve">  </w:t>
            </w:r>
            <w:r>
              <w:rPr>
                <w:sz w:val="20"/>
              </w:rPr>
              <w:t xml:space="preserve">   </w:t>
            </w:r>
            <w:r w:rsidRPr="00792637">
              <w:rPr>
                <w:sz w:val="20"/>
              </w:rPr>
              <w:t>230,673</w:t>
            </w:r>
          </w:p>
        </w:tc>
      </w:tr>
      <w:tr w:rsidR="000C7921" w:rsidRPr="00BE5EC2" w:rsidTr="000C7921">
        <w:tc>
          <w:tcPr>
            <w:tcW w:w="3960" w:type="dxa"/>
          </w:tcPr>
          <w:p w:rsidR="000C7921" w:rsidRPr="00BE5EC2" w:rsidRDefault="000C7921" w:rsidP="009F66C4">
            <w:pPr>
              <w:pStyle w:val="BodyText"/>
              <w:tabs>
                <w:tab w:val="left" w:pos="360"/>
                <w:tab w:val="left" w:pos="540"/>
                <w:tab w:val="left" w:pos="630"/>
                <w:tab w:val="left" w:pos="1080"/>
              </w:tabs>
              <w:ind w:right="-108" w:hanging="108"/>
              <w:rPr>
                <w:sz w:val="20"/>
              </w:rPr>
            </w:pPr>
            <w:r w:rsidRPr="00BE5EC2">
              <w:rPr>
                <w:sz w:val="20"/>
              </w:rPr>
              <w:t xml:space="preserve"> - Trust receipts and bankers' acceptances</w:t>
            </w:r>
          </w:p>
        </w:tc>
        <w:tc>
          <w:tcPr>
            <w:tcW w:w="1440" w:type="dxa"/>
          </w:tcPr>
          <w:p w:rsidR="000C7921" w:rsidRPr="00792637" w:rsidRDefault="000C7921" w:rsidP="00FA1A4A">
            <w:pPr>
              <w:pStyle w:val="BodyText"/>
              <w:tabs>
                <w:tab w:val="left" w:pos="360"/>
                <w:tab w:val="left" w:pos="540"/>
                <w:tab w:val="left" w:pos="630"/>
                <w:tab w:val="left" w:pos="972"/>
              </w:tabs>
              <w:ind w:right="-108" w:hanging="108"/>
              <w:jc w:val="center"/>
              <w:rPr>
                <w:sz w:val="20"/>
              </w:rPr>
            </w:pPr>
            <w:r w:rsidRPr="00792637">
              <w:rPr>
                <w:sz w:val="20"/>
              </w:rPr>
              <w:t xml:space="preserve">   20,407</w:t>
            </w:r>
          </w:p>
        </w:tc>
        <w:tc>
          <w:tcPr>
            <w:tcW w:w="1440" w:type="dxa"/>
          </w:tcPr>
          <w:p w:rsidR="000C7921" w:rsidRPr="00792637" w:rsidRDefault="000C7921" w:rsidP="000C7921">
            <w:pPr>
              <w:pStyle w:val="BodyText"/>
              <w:tabs>
                <w:tab w:val="left" w:pos="360"/>
                <w:tab w:val="left" w:pos="540"/>
                <w:tab w:val="left" w:pos="630"/>
                <w:tab w:val="left" w:pos="972"/>
              </w:tabs>
              <w:ind w:right="-108" w:hanging="108"/>
              <w:jc w:val="center"/>
              <w:rPr>
                <w:sz w:val="20"/>
              </w:rPr>
            </w:pPr>
            <w:r>
              <w:rPr>
                <w:sz w:val="20"/>
              </w:rPr>
              <w:t xml:space="preserve">      -</w:t>
            </w:r>
          </w:p>
        </w:tc>
        <w:tc>
          <w:tcPr>
            <w:tcW w:w="1260" w:type="dxa"/>
          </w:tcPr>
          <w:p w:rsidR="000C7921" w:rsidRPr="00792637" w:rsidRDefault="000C7921" w:rsidP="000C7921">
            <w:pPr>
              <w:pStyle w:val="BodyText"/>
              <w:tabs>
                <w:tab w:val="left" w:pos="360"/>
                <w:tab w:val="left" w:pos="540"/>
                <w:tab w:val="left" w:pos="630"/>
                <w:tab w:val="left" w:pos="972"/>
              </w:tabs>
              <w:ind w:right="-108" w:hanging="108"/>
              <w:jc w:val="center"/>
              <w:rPr>
                <w:sz w:val="20"/>
              </w:rPr>
            </w:pPr>
            <w:r>
              <w:rPr>
                <w:sz w:val="20"/>
              </w:rPr>
              <w:t xml:space="preserve">   </w:t>
            </w:r>
            <w:r w:rsidRPr="00792637">
              <w:rPr>
                <w:sz w:val="20"/>
              </w:rPr>
              <w:t xml:space="preserve">   20,407</w:t>
            </w:r>
          </w:p>
        </w:tc>
      </w:tr>
      <w:tr w:rsidR="000C7921" w:rsidRPr="00BE5EC2" w:rsidTr="000C7921">
        <w:tc>
          <w:tcPr>
            <w:tcW w:w="3960" w:type="dxa"/>
          </w:tcPr>
          <w:p w:rsidR="000C7921" w:rsidRPr="00BE5EC2" w:rsidRDefault="000C7921" w:rsidP="009F3412">
            <w:pPr>
              <w:pStyle w:val="BodyText"/>
              <w:tabs>
                <w:tab w:val="left" w:pos="360"/>
                <w:tab w:val="left" w:pos="540"/>
                <w:tab w:val="left" w:pos="630"/>
                <w:tab w:val="left" w:pos="1080"/>
              </w:tabs>
              <w:ind w:right="-108" w:hanging="108"/>
              <w:rPr>
                <w:sz w:val="20"/>
              </w:rPr>
            </w:pPr>
            <w:r w:rsidRPr="00BE5EC2">
              <w:rPr>
                <w:sz w:val="20"/>
              </w:rPr>
              <w:t xml:space="preserve"> - Hire purchase and lease payable </w:t>
            </w:r>
          </w:p>
        </w:tc>
        <w:tc>
          <w:tcPr>
            <w:tcW w:w="1440" w:type="dxa"/>
          </w:tcPr>
          <w:p w:rsidR="000C7921" w:rsidRPr="00792637" w:rsidRDefault="000C7921" w:rsidP="000C7921">
            <w:pPr>
              <w:pStyle w:val="BodyText"/>
              <w:tabs>
                <w:tab w:val="left" w:pos="360"/>
                <w:tab w:val="left" w:pos="540"/>
                <w:tab w:val="left" w:pos="630"/>
                <w:tab w:val="left" w:pos="972"/>
                <w:tab w:val="left" w:pos="1080"/>
              </w:tabs>
              <w:ind w:right="-108" w:hanging="108"/>
              <w:jc w:val="center"/>
              <w:rPr>
                <w:sz w:val="20"/>
              </w:rPr>
            </w:pPr>
            <w:r w:rsidRPr="00792637">
              <w:rPr>
                <w:sz w:val="20"/>
              </w:rPr>
              <w:t xml:space="preserve">   17,</w:t>
            </w:r>
            <w:r>
              <w:rPr>
                <w:sz w:val="20"/>
              </w:rPr>
              <w:t>857</w:t>
            </w:r>
          </w:p>
        </w:tc>
        <w:tc>
          <w:tcPr>
            <w:tcW w:w="1440" w:type="dxa"/>
          </w:tcPr>
          <w:p w:rsidR="000C7921" w:rsidRPr="00792637" w:rsidRDefault="000C7921" w:rsidP="000C7921">
            <w:pPr>
              <w:pStyle w:val="BodyText"/>
              <w:tabs>
                <w:tab w:val="left" w:pos="360"/>
                <w:tab w:val="left" w:pos="540"/>
                <w:tab w:val="left" w:pos="630"/>
                <w:tab w:val="left" w:pos="972"/>
                <w:tab w:val="left" w:pos="1080"/>
              </w:tabs>
              <w:ind w:right="-108" w:hanging="108"/>
              <w:jc w:val="center"/>
              <w:rPr>
                <w:sz w:val="20"/>
              </w:rPr>
            </w:pPr>
            <w:r>
              <w:rPr>
                <w:sz w:val="20"/>
              </w:rPr>
              <w:t xml:space="preserve">            122</w:t>
            </w:r>
          </w:p>
        </w:tc>
        <w:tc>
          <w:tcPr>
            <w:tcW w:w="1260" w:type="dxa"/>
          </w:tcPr>
          <w:p w:rsidR="000C7921" w:rsidRPr="00792637" w:rsidRDefault="000C7921" w:rsidP="000C7921">
            <w:pPr>
              <w:pStyle w:val="BodyText"/>
              <w:tabs>
                <w:tab w:val="left" w:pos="360"/>
                <w:tab w:val="left" w:pos="540"/>
                <w:tab w:val="left" w:pos="630"/>
                <w:tab w:val="left" w:pos="972"/>
                <w:tab w:val="left" w:pos="1080"/>
              </w:tabs>
              <w:ind w:right="-108" w:hanging="108"/>
              <w:jc w:val="center"/>
              <w:rPr>
                <w:sz w:val="20"/>
              </w:rPr>
            </w:pPr>
            <w:r>
              <w:rPr>
                <w:sz w:val="20"/>
              </w:rPr>
              <w:t xml:space="preserve">   </w:t>
            </w:r>
            <w:r w:rsidRPr="00792637">
              <w:rPr>
                <w:sz w:val="20"/>
              </w:rPr>
              <w:t xml:space="preserve">   17,979</w:t>
            </w:r>
          </w:p>
        </w:tc>
      </w:tr>
      <w:tr w:rsidR="000C7921" w:rsidRPr="00BE5EC2" w:rsidTr="000C7921">
        <w:tc>
          <w:tcPr>
            <w:tcW w:w="3960" w:type="dxa"/>
          </w:tcPr>
          <w:p w:rsidR="000C7921" w:rsidRPr="00BE5EC2" w:rsidRDefault="000C7921" w:rsidP="009F66C4">
            <w:pPr>
              <w:pStyle w:val="BodyText"/>
              <w:tabs>
                <w:tab w:val="left" w:pos="360"/>
                <w:tab w:val="left" w:pos="540"/>
                <w:tab w:val="left" w:pos="630"/>
                <w:tab w:val="left" w:pos="1080"/>
              </w:tabs>
              <w:ind w:right="-108" w:hanging="108"/>
              <w:rPr>
                <w:sz w:val="20"/>
              </w:rPr>
            </w:pPr>
            <w:r w:rsidRPr="00BE5EC2">
              <w:rPr>
                <w:sz w:val="20"/>
              </w:rPr>
              <w:t xml:space="preserve"> - Term loans</w:t>
            </w:r>
          </w:p>
        </w:tc>
        <w:tc>
          <w:tcPr>
            <w:tcW w:w="1440" w:type="dxa"/>
          </w:tcPr>
          <w:p w:rsidR="000C7921" w:rsidRPr="00792637" w:rsidRDefault="000C7921" w:rsidP="000C7921">
            <w:pPr>
              <w:pStyle w:val="BodyText"/>
              <w:tabs>
                <w:tab w:val="left" w:pos="360"/>
                <w:tab w:val="left" w:pos="540"/>
                <w:tab w:val="left" w:pos="630"/>
                <w:tab w:val="left" w:pos="1080"/>
              </w:tabs>
              <w:ind w:right="-108" w:hanging="108"/>
              <w:jc w:val="center"/>
              <w:rPr>
                <w:sz w:val="20"/>
              </w:rPr>
            </w:pPr>
            <w:r w:rsidRPr="00792637">
              <w:rPr>
                <w:sz w:val="20"/>
              </w:rPr>
              <w:t xml:space="preserve">   5</w:t>
            </w:r>
            <w:r>
              <w:rPr>
                <w:sz w:val="20"/>
              </w:rPr>
              <w:t>3</w:t>
            </w:r>
            <w:r w:rsidRPr="00792637">
              <w:rPr>
                <w:sz w:val="20"/>
              </w:rPr>
              <w:t>,</w:t>
            </w:r>
            <w:r>
              <w:rPr>
                <w:sz w:val="20"/>
              </w:rPr>
              <w:t>038</w:t>
            </w:r>
          </w:p>
        </w:tc>
        <w:tc>
          <w:tcPr>
            <w:tcW w:w="1440" w:type="dxa"/>
          </w:tcPr>
          <w:p w:rsidR="000C7921" w:rsidRPr="00792637" w:rsidRDefault="000C7921" w:rsidP="000C7921">
            <w:pPr>
              <w:pStyle w:val="BodyText"/>
              <w:tabs>
                <w:tab w:val="left" w:pos="360"/>
                <w:tab w:val="left" w:pos="540"/>
                <w:tab w:val="left" w:pos="630"/>
                <w:tab w:val="left" w:pos="1080"/>
              </w:tabs>
              <w:ind w:right="-108" w:hanging="108"/>
              <w:jc w:val="center"/>
              <w:rPr>
                <w:sz w:val="20"/>
              </w:rPr>
            </w:pPr>
            <w:r>
              <w:rPr>
                <w:sz w:val="20"/>
              </w:rPr>
              <w:t xml:space="preserve">         1,500</w:t>
            </w:r>
          </w:p>
        </w:tc>
        <w:tc>
          <w:tcPr>
            <w:tcW w:w="1260" w:type="dxa"/>
          </w:tcPr>
          <w:p w:rsidR="000C7921" w:rsidRPr="00792637" w:rsidRDefault="000C7921" w:rsidP="000C7921">
            <w:pPr>
              <w:pStyle w:val="BodyText"/>
              <w:tabs>
                <w:tab w:val="left" w:pos="360"/>
                <w:tab w:val="left" w:pos="540"/>
                <w:tab w:val="left" w:pos="630"/>
                <w:tab w:val="left" w:pos="1080"/>
              </w:tabs>
              <w:ind w:right="-108" w:hanging="108"/>
              <w:jc w:val="center"/>
              <w:rPr>
                <w:sz w:val="20"/>
              </w:rPr>
            </w:pPr>
            <w:r>
              <w:rPr>
                <w:sz w:val="20"/>
              </w:rPr>
              <w:t xml:space="preserve">   </w:t>
            </w:r>
            <w:r w:rsidRPr="00792637">
              <w:rPr>
                <w:sz w:val="20"/>
              </w:rPr>
              <w:t xml:space="preserve">   54,538</w:t>
            </w:r>
          </w:p>
        </w:tc>
      </w:tr>
      <w:tr w:rsidR="000C7921" w:rsidRPr="00BE5EC2" w:rsidTr="000C7921">
        <w:tc>
          <w:tcPr>
            <w:tcW w:w="3960" w:type="dxa"/>
          </w:tcPr>
          <w:p w:rsidR="000C7921" w:rsidRPr="00BE5EC2" w:rsidRDefault="000C7921" w:rsidP="006B7494">
            <w:pPr>
              <w:pStyle w:val="BodyText"/>
              <w:tabs>
                <w:tab w:val="left" w:pos="360"/>
                <w:tab w:val="left" w:pos="540"/>
                <w:tab w:val="left" w:pos="630"/>
                <w:tab w:val="left" w:pos="1080"/>
              </w:tabs>
              <w:ind w:right="-108" w:hanging="108"/>
              <w:rPr>
                <w:sz w:val="20"/>
              </w:rPr>
            </w:pPr>
            <w:r w:rsidRPr="00BE5EC2">
              <w:rPr>
                <w:sz w:val="20"/>
              </w:rPr>
              <w:t xml:space="preserve"> - Medium term notes</w:t>
            </w:r>
          </w:p>
        </w:tc>
        <w:tc>
          <w:tcPr>
            <w:tcW w:w="1440" w:type="dxa"/>
          </w:tcPr>
          <w:p w:rsidR="000C7921" w:rsidRPr="00BE5EC2" w:rsidRDefault="000C7921" w:rsidP="00BE5EC2">
            <w:pPr>
              <w:pStyle w:val="BodyText"/>
              <w:tabs>
                <w:tab w:val="left" w:pos="360"/>
                <w:tab w:val="left" w:pos="540"/>
                <w:tab w:val="left" w:pos="630"/>
                <w:tab w:val="left" w:pos="972"/>
              </w:tabs>
              <w:ind w:right="-108" w:hanging="108"/>
              <w:rPr>
                <w:sz w:val="20"/>
              </w:rPr>
            </w:pPr>
            <w:r w:rsidRPr="00BE5EC2">
              <w:rPr>
                <w:sz w:val="20"/>
              </w:rPr>
              <w:t xml:space="preserve">          </w:t>
            </w:r>
            <w:r>
              <w:rPr>
                <w:sz w:val="20"/>
              </w:rPr>
              <w:t xml:space="preserve">    -</w:t>
            </w:r>
          </w:p>
        </w:tc>
        <w:tc>
          <w:tcPr>
            <w:tcW w:w="1440" w:type="dxa"/>
          </w:tcPr>
          <w:p w:rsidR="000C7921" w:rsidRPr="00BE5EC2" w:rsidRDefault="000C7921" w:rsidP="000C7921">
            <w:pPr>
              <w:pStyle w:val="BodyText"/>
              <w:tabs>
                <w:tab w:val="left" w:pos="360"/>
                <w:tab w:val="left" w:pos="540"/>
                <w:tab w:val="left" w:pos="630"/>
                <w:tab w:val="left" w:pos="972"/>
              </w:tabs>
              <w:ind w:right="-108" w:hanging="108"/>
              <w:jc w:val="center"/>
              <w:rPr>
                <w:sz w:val="20"/>
              </w:rPr>
            </w:pPr>
            <w:r>
              <w:rPr>
                <w:sz w:val="20"/>
              </w:rPr>
              <w:t xml:space="preserve">        52,100</w:t>
            </w:r>
          </w:p>
        </w:tc>
        <w:tc>
          <w:tcPr>
            <w:tcW w:w="1260" w:type="dxa"/>
          </w:tcPr>
          <w:p w:rsidR="000C7921" w:rsidRPr="00BE5EC2" w:rsidRDefault="000C7921" w:rsidP="000C7921">
            <w:pPr>
              <w:pStyle w:val="BodyText"/>
              <w:tabs>
                <w:tab w:val="left" w:pos="360"/>
                <w:tab w:val="left" w:pos="540"/>
                <w:tab w:val="left" w:pos="630"/>
                <w:tab w:val="left" w:pos="972"/>
              </w:tabs>
              <w:ind w:right="-108" w:hanging="108"/>
              <w:rPr>
                <w:sz w:val="20"/>
              </w:rPr>
            </w:pPr>
            <w:r w:rsidRPr="00BE5EC2">
              <w:rPr>
                <w:sz w:val="20"/>
              </w:rPr>
              <w:t xml:space="preserve">          52,100</w:t>
            </w:r>
          </w:p>
        </w:tc>
      </w:tr>
      <w:tr w:rsidR="000C7921" w:rsidRPr="00BE5EC2" w:rsidTr="000C7921">
        <w:tc>
          <w:tcPr>
            <w:tcW w:w="3960" w:type="dxa"/>
          </w:tcPr>
          <w:p w:rsidR="000C7921" w:rsidRPr="00BE5EC2" w:rsidRDefault="000C7921" w:rsidP="009F66C4">
            <w:pPr>
              <w:pStyle w:val="BodyText"/>
              <w:tabs>
                <w:tab w:val="left" w:pos="360"/>
                <w:tab w:val="left" w:pos="540"/>
                <w:tab w:val="left" w:pos="630"/>
                <w:tab w:val="left" w:pos="1080"/>
              </w:tabs>
              <w:ind w:right="-108" w:hanging="108"/>
              <w:rPr>
                <w:sz w:val="20"/>
              </w:rPr>
            </w:pPr>
            <w:r w:rsidRPr="00BE5EC2">
              <w:rPr>
                <w:sz w:val="20"/>
              </w:rPr>
              <w:t xml:space="preserve"> - Commercial papers</w:t>
            </w:r>
          </w:p>
        </w:tc>
        <w:tc>
          <w:tcPr>
            <w:tcW w:w="1440" w:type="dxa"/>
          </w:tcPr>
          <w:p w:rsidR="000C7921" w:rsidRPr="00BE5EC2" w:rsidRDefault="000C7921" w:rsidP="000C7921">
            <w:pPr>
              <w:pStyle w:val="BodyText"/>
              <w:tabs>
                <w:tab w:val="left" w:pos="360"/>
                <w:tab w:val="left" w:pos="540"/>
                <w:tab w:val="left" w:pos="630"/>
                <w:tab w:val="left" w:pos="1080"/>
              </w:tabs>
              <w:ind w:right="-108" w:hanging="108"/>
              <w:rPr>
                <w:sz w:val="20"/>
              </w:rPr>
            </w:pPr>
            <w:r w:rsidRPr="00BE5EC2">
              <w:rPr>
                <w:sz w:val="20"/>
              </w:rPr>
              <w:t xml:space="preserve">       </w:t>
            </w:r>
            <w:r>
              <w:rPr>
                <w:sz w:val="20"/>
              </w:rPr>
              <w:t xml:space="preserve">       -</w:t>
            </w:r>
          </w:p>
        </w:tc>
        <w:tc>
          <w:tcPr>
            <w:tcW w:w="1440" w:type="dxa"/>
          </w:tcPr>
          <w:p w:rsidR="000C7921" w:rsidRPr="00BE5EC2" w:rsidRDefault="000C7921" w:rsidP="000C7921">
            <w:pPr>
              <w:pStyle w:val="BodyText"/>
              <w:tabs>
                <w:tab w:val="left" w:pos="360"/>
                <w:tab w:val="left" w:pos="540"/>
                <w:tab w:val="left" w:pos="630"/>
                <w:tab w:val="left" w:pos="1080"/>
              </w:tabs>
              <w:ind w:right="-108" w:hanging="108"/>
              <w:jc w:val="center"/>
              <w:rPr>
                <w:sz w:val="20"/>
              </w:rPr>
            </w:pPr>
            <w:r>
              <w:rPr>
                <w:sz w:val="20"/>
              </w:rPr>
              <w:t xml:space="preserve">      317,119</w:t>
            </w:r>
          </w:p>
        </w:tc>
        <w:tc>
          <w:tcPr>
            <w:tcW w:w="1260" w:type="dxa"/>
          </w:tcPr>
          <w:p w:rsidR="000C7921" w:rsidRPr="00BE5EC2" w:rsidRDefault="000C7921" w:rsidP="000C7921">
            <w:pPr>
              <w:pStyle w:val="BodyText"/>
              <w:tabs>
                <w:tab w:val="left" w:pos="360"/>
                <w:tab w:val="left" w:pos="540"/>
                <w:tab w:val="left" w:pos="630"/>
                <w:tab w:val="left" w:pos="1080"/>
              </w:tabs>
              <w:ind w:right="-108" w:hanging="108"/>
              <w:rPr>
                <w:sz w:val="20"/>
              </w:rPr>
            </w:pPr>
            <w:r w:rsidRPr="00BE5EC2">
              <w:rPr>
                <w:sz w:val="20"/>
              </w:rPr>
              <w:t xml:space="preserve">        317,119</w:t>
            </w:r>
          </w:p>
        </w:tc>
      </w:tr>
      <w:tr w:rsidR="000C7921" w:rsidRPr="00BE5EC2" w:rsidTr="000C7921">
        <w:tc>
          <w:tcPr>
            <w:tcW w:w="3960" w:type="dxa"/>
          </w:tcPr>
          <w:p w:rsidR="000C7921" w:rsidRPr="00BE5EC2" w:rsidRDefault="000C7921" w:rsidP="00F22956">
            <w:pPr>
              <w:pStyle w:val="BodyText"/>
              <w:tabs>
                <w:tab w:val="left" w:pos="360"/>
                <w:tab w:val="left" w:pos="540"/>
                <w:tab w:val="left" w:pos="630"/>
                <w:tab w:val="left" w:pos="1080"/>
              </w:tabs>
              <w:ind w:right="-108" w:hanging="108"/>
              <w:rPr>
                <w:sz w:val="20"/>
              </w:rPr>
            </w:pPr>
            <w:r w:rsidRPr="00BE5EC2">
              <w:rPr>
                <w:sz w:val="20"/>
              </w:rPr>
              <w:t xml:space="preserve"> </w:t>
            </w:r>
          </w:p>
        </w:tc>
        <w:tc>
          <w:tcPr>
            <w:tcW w:w="1440" w:type="dxa"/>
            <w:tcBorders>
              <w:top w:val="single" w:sz="8" w:space="0" w:color="000000"/>
              <w:bottom w:val="single" w:sz="8" w:space="0" w:color="000000"/>
            </w:tcBorders>
          </w:tcPr>
          <w:p w:rsidR="000C7921" w:rsidRPr="00BE5EC2" w:rsidRDefault="004E47BA" w:rsidP="004E47BA">
            <w:pPr>
              <w:pStyle w:val="BodyText"/>
              <w:tabs>
                <w:tab w:val="left" w:pos="360"/>
                <w:tab w:val="left" w:pos="540"/>
                <w:tab w:val="left" w:pos="630"/>
                <w:tab w:val="left" w:pos="810"/>
                <w:tab w:val="left" w:pos="1080"/>
              </w:tabs>
              <w:ind w:right="-108" w:hanging="108"/>
              <w:rPr>
                <w:sz w:val="20"/>
              </w:rPr>
            </w:pPr>
            <w:r>
              <w:rPr>
                <w:sz w:val="20"/>
              </w:rPr>
              <w:t xml:space="preserve">    </w:t>
            </w:r>
            <w:r w:rsidR="000C7921" w:rsidRPr="00BE5EC2">
              <w:rPr>
                <w:sz w:val="20"/>
              </w:rPr>
              <w:t xml:space="preserve">    </w:t>
            </w:r>
            <w:r>
              <w:rPr>
                <w:sz w:val="20"/>
              </w:rPr>
              <w:t>528,859</w:t>
            </w:r>
          </w:p>
        </w:tc>
        <w:tc>
          <w:tcPr>
            <w:tcW w:w="1440" w:type="dxa"/>
            <w:tcBorders>
              <w:top w:val="single" w:sz="8" w:space="0" w:color="000000"/>
              <w:bottom w:val="single" w:sz="8" w:space="0" w:color="000000"/>
            </w:tcBorders>
          </w:tcPr>
          <w:p w:rsidR="000C7921" w:rsidRPr="00BE5EC2" w:rsidRDefault="000C7921" w:rsidP="000C7921">
            <w:pPr>
              <w:pStyle w:val="BodyText"/>
              <w:tabs>
                <w:tab w:val="left" w:pos="360"/>
                <w:tab w:val="left" w:pos="540"/>
                <w:tab w:val="left" w:pos="630"/>
                <w:tab w:val="left" w:pos="810"/>
                <w:tab w:val="left" w:pos="1080"/>
              </w:tabs>
              <w:ind w:right="-108" w:hanging="108"/>
              <w:jc w:val="center"/>
              <w:rPr>
                <w:sz w:val="20"/>
              </w:rPr>
            </w:pPr>
            <w:r>
              <w:rPr>
                <w:sz w:val="20"/>
              </w:rPr>
              <w:t xml:space="preserve">      577,156</w:t>
            </w:r>
          </w:p>
        </w:tc>
        <w:tc>
          <w:tcPr>
            <w:tcW w:w="1260" w:type="dxa"/>
            <w:tcBorders>
              <w:top w:val="single" w:sz="8" w:space="0" w:color="000000"/>
              <w:bottom w:val="single" w:sz="8" w:space="0" w:color="000000"/>
            </w:tcBorders>
          </w:tcPr>
          <w:p w:rsidR="000C7921" w:rsidRPr="00BE5EC2" w:rsidRDefault="000C7921" w:rsidP="000C7921">
            <w:pPr>
              <w:pStyle w:val="BodyText"/>
              <w:tabs>
                <w:tab w:val="left" w:pos="360"/>
                <w:tab w:val="left" w:pos="540"/>
                <w:tab w:val="left" w:pos="630"/>
                <w:tab w:val="left" w:pos="810"/>
                <w:tab w:val="left" w:pos="1080"/>
              </w:tabs>
              <w:ind w:right="-108" w:hanging="108"/>
              <w:rPr>
                <w:sz w:val="20"/>
              </w:rPr>
            </w:pPr>
            <w:r w:rsidRPr="00BE5EC2">
              <w:rPr>
                <w:sz w:val="20"/>
              </w:rPr>
              <w:t xml:space="preserve">     1,</w:t>
            </w:r>
            <w:r>
              <w:rPr>
                <w:sz w:val="20"/>
              </w:rPr>
              <w:t>106,015</w:t>
            </w:r>
          </w:p>
        </w:tc>
      </w:tr>
      <w:tr w:rsidR="000C7921" w:rsidRPr="00BE5EC2" w:rsidTr="000C7921">
        <w:tc>
          <w:tcPr>
            <w:tcW w:w="3960" w:type="dxa"/>
          </w:tcPr>
          <w:p w:rsidR="000C7921" w:rsidRPr="00BE5EC2" w:rsidRDefault="000C7921" w:rsidP="009F66C4">
            <w:pPr>
              <w:pStyle w:val="BodyText"/>
              <w:tabs>
                <w:tab w:val="left" w:pos="360"/>
                <w:tab w:val="left" w:pos="540"/>
                <w:tab w:val="left" w:pos="630"/>
                <w:tab w:val="left" w:pos="1080"/>
              </w:tabs>
              <w:ind w:right="-108" w:hanging="108"/>
              <w:rPr>
                <w:sz w:val="20"/>
              </w:rPr>
            </w:pPr>
          </w:p>
        </w:tc>
        <w:tc>
          <w:tcPr>
            <w:tcW w:w="1440" w:type="dxa"/>
            <w:tcBorders>
              <w:top w:val="single" w:sz="8" w:space="0" w:color="000000"/>
              <w:bottom w:val="single" w:sz="8" w:space="0" w:color="000000"/>
            </w:tcBorders>
          </w:tcPr>
          <w:p w:rsidR="000C7921" w:rsidRPr="00BE5EC2" w:rsidRDefault="000C7921" w:rsidP="00BE5EC2">
            <w:pPr>
              <w:pStyle w:val="BodyText"/>
              <w:tabs>
                <w:tab w:val="left" w:pos="360"/>
                <w:tab w:val="left" w:pos="540"/>
                <w:tab w:val="left" w:pos="630"/>
                <w:tab w:val="left" w:pos="810"/>
                <w:tab w:val="left" w:pos="1080"/>
              </w:tabs>
              <w:ind w:right="-108" w:hanging="108"/>
              <w:rPr>
                <w:sz w:val="20"/>
              </w:rPr>
            </w:pPr>
          </w:p>
        </w:tc>
        <w:tc>
          <w:tcPr>
            <w:tcW w:w="1440" w:type="dxa"/>
            <w:tcBorders>
              <w:top w:val="single" w:sz="8" w:space="0" w:color="000000"/>
              <w:bottom w:val="single" w:sz="8" w:space="0" w:color="000000"/>
            </w:tcBorders>
          </w:tcPr>
          <w:p w:rsidR="000C7921" w:rsidRPr="00BE5EC2" w:rsidRDefault="000C7921" w:rsidP="000C7921">
            <w:pPr>
              <w:pStyle w:val="BodyText"/>
              <w:tabs>
                <w:tab w:val="left" w:pos="360"/>
                <w:tab w:val="left" w:pos="540"/>
                <w:tab w:val="left" w:pos="630"/>
                <w:tab w:val="left" w:pos="810"/>
                <w:tab w:val="left" w:pos="1080"/>
              </w:tabs>
              <w:ind w:right="-108" w:hanging="108"/>
              <w:jc w:val="center"/>
              <w:rPr>
                <w:sz w:val="20"/>
              </w:rPr>
            </w:pPr>
          </w:p>
        </w:tc>
        <w:tc>
          <w:tcPr>
            <w:tcW w:w="1260" w:type="dxa"/>
            <w:tcBorders>
              <w:top w:val="single" w:sz="8" w:space="0" w:color="000000"/>
              <w:bottom w:val="single" w:sz="8" w:space="0" w:color="000000"/>
            </w:tcBorders>
          </w:tcPr>
          <w:p w:rsidR="000C7921" w:rsidRPr="00BE5EC2" w:rsidRDefault="000C7921" w:rsidP="000C7921">
            <w:pPr>
              <w:pStyle w:val="BodyText"/>
              <w:tabs>
                <w:tab w:val="left" w:pos="360"/>
                <w:tab w:val="left" w:pos="540"/>
                <w:tab w:val="left" w:pos="630"/>
                <w:tab w:val="left" w:pos="810"/>
                <w:tab w:val="left" w:pos="1080"/>
              </w:tabs>
              <w:ind w:right="-108" w:hanging="108"/>
              <w:rPr>
                <w:sz w:val="20"/>
              </w:rPr>
            </w:pPr>
          </w:p>
        </w:tc>
      </w:tr>
      <w:tr w:rsidR="000C7921" w:rsidRPr="00BE5EC2" w:rsidTr="000C7921">
        <w:tc>
          <w:tcPr>
            <w:tcW w:w="3960" w:type="dxa"/>
          </w:tcPr>
          <w:p w:rsidR="000C7921" w:rsidRPr="0093220F" w:rsidRDefault="00F22956" w:rsidP="00B51CA3">
            <w:pPr>
              <w:pStyle w:val="BodyText"/>
              <w:tabs>
                <w:tab w:val="left" w:pos="360"/>
                <w:tab w:val="left" w:pos="540"/>
                <w:tab w:val="left" w:pos="630"/>
                <w:tab w:val="left" w:pos="1080"/>
              </w:tabs>
              <w:ind w:left="288" w:right="-108" w:hanging="396"/>
              <w:jc w:val="left"/>
              <w:rPr>
                <w:b/>
                <w:sz w:val="20"/>
              </w:rPr>
            </w:pPr>
            <w:r>
              <w:rPr>
                <w:b/>
                <w:sz w:val="20"/>
              </w:rPr>
              <w:t>T</w:t>
            </w:r>
            <w:r w:rsidR="000C7921" w:rsidRPr="0093220F">
              <w:rPr>
                <w:b/>
                <w:sz w:val="20"/>
              </w:rPr>
              <w:t>otal</w:t>
            </w:r>
            <w:r>
              <w:rPr>
                <w:b/>
                <w:sz w:val="20"/>
              </w:rPr>
              <w:t xml:space="preserve"> </w:t>
            </w:r>
            <w:r w:rsidR="00B51CA3">
              <w:rPr>
                <w:b/>
                <w:sz w:val="20"/>
              </w:rPr>
              <w:t>l</w:t>
            </w:r>
            <w:r>
              <w:rPr>
                <w:b/>
                <w:sz w:val="20"/>
              </w:rPr>
              <w:t xml:space="preserve">oans and </w:t>
            </w:r>
            <w:r w:rsidR="00B51CA3">
              <w:rPr>
                <w:b/>
                <w:sz w:val="20"/>
              </w:rPr>
              <w:t>b</w:t>
            </w:r>
            <w:r>
              <w:rPr>
                <w:b/>
                <w:sz w:val="20"/>
              </w:rPr>
              <w:t>orrowings</w:t>
            </w:r>
          </w:p>
        </w:tc>
        <w:tc>
          <w:tcPr>
            <w:tcW w:w="1440" w:type="dxa"/>
            <w:tcBorders>
              <w:top w:val="single" w:sz="8" w:space="0" w:color="000000"/>
              <w:bottom w:val="single" w:sz="12" w:space="0" w:color="000000"/>
            </w:tcBorders>
          </w:tcPr>
          <w:p w:rsidR="000C7921" w:rsidRPr="00BE5EC2" w:rsidRDefault="004E47BA" w:rsidP="004E47BA">
            <w:pPr>
              <w:pStyle w:val="BodyText"/>
              <w:tabs>
                <w:tab w:val="left" w:pos="360"/>
                <w:tab w:val="left" w:pos="540"/>
                <w:tab w:val="left" w:pos="630"/>
                <w:tab w:val="left" w:pos="810"/>
                <w:tab w:val="left" w:pos="1080"/>
              </w:tabs>
              <w:ind w:right="-108" w:hanging="108"/>
              <w:rPr>
                <w:sz w:val="20"/>
              </w:rPr>
            </w:pPr>
            <w:r>
              <w:rPr>
                <w:sz w:val="20"/>
              </w:rPr>
              <w:t xml:space="preserve">    </w:t>
            </w:r>
            <w:r w:rsidR="000C7921">
              <w:rPr>
                <w:sz w:val="20"/>
              </w:rPr>
              <w:t xml:space="preserve">    </w:t>
            </w:r>
            <w:r>
              <w:rPr>
                <w:sz w:val="20"/>
              </w:rPr>
              <w:t>929,764</w:t>
            </w:r>
          </w:p>
        </w:tc>
        <w:tc>
          <w:tcPr>
            <w:tcW w:w="1440" w:type="dxa"/>
            <w:tcBorders>
              <w:top w:val="single" w:sz="8" w:space="0" w:color="000000"/>
              <w:bottom w:val="single" w:sz="12" w:space="0" w:color="000000"/>
            </w:tcBorders>
          </w:tcPr>
          <w:p w:rsidR="000C7921" w:rsidRDefault="000C7921" w:rsidP="000C7921">
            <w:pPr>
              <w:pStyle w:val="BodyText"/>
              <w:tabs>
                <w:tab w:val="left" w:pos="360"/>
                <w:tab w:val="left" w:pos="540"/>
                <w:tab w:val="left" w:pos="630"/>
                <w:tab w:val="left" w:pos="810"/>
                <w:tab w:val="left" w:pos="1080"/>
              </w:tabs>
              <w:ind w:right="-108" w:hanging="108"/>
              <w:jc w:val="center"/>
              <w:rPr>
                <w:sz w:val="20"/>
              </w:rPr>
            </w:pPr>
            <w:r>
              <w:rPr>
                <w:sz w:val="20"/>
              </w:rPr>
              <w:t xml:space="preserve">      597,156</w:t>
            </w:r>
          </w:p>
        </w:tc>
        <w:tc>
          <w:tcPr>
            <w:tcW w:w="1260" w:type="dxa"/>
            <w:tcBorders>
              <w:top w:val="single" w:sz="8" w:space="0" w:color="000000"/>
              <w:bottom w:val="single" w:sz="12" w:space="0" w:color="000000"/>
            </w:tcBorders>
          </w:tcPr>
          <w:p w:rsidR="000C7921" w:rsidRPr="00BE5EC2" w:rsidRDefault="000C7921" w:rsidP="000C7921">
            <w:pPr>
              <w:pStyle w:val="BodyText"/>
              <w:tabs>
                <w:tab w:val="left" w:pos="360"/>
                <w:tab w:val="left" w:pos="540"/>
                <w:tab w:val="left" w:pos="630"/>
                <w:tab w:val="left" w:pos="810"/>
                <w:tab w:val="left" w:pos="1080"/>
              </w:tabs>
              <w:ind w:right="-108" w:hanging="108"/>
              <w:rPr>
                <w:sz w:val="20"/>
              </w:rPr>
            </w:pPr>
            <w:r>
              <w:rPr>
                <w:sz w:val="20"/>
              </w:rPr>
              <w:t xml:space="preserve">     1,526,920</w:t>
            </w:r>
          </w:p>
        </w:tc>
      </w:tr>
    </w:tbl>
    <w:p w:rsidR="00A43AE0" w:rsidRPr="00E00805" w:rsidRDefault="0059386B" w:rsidP="0093220F">
      <w:pPr>
        <w:pStyle w:val="BodyText"/>
        <w:tabs>
          <w:tab w:val="left" w:pos="360"/>
          <w:tab w:val="left" w:pos="540"/>
          <w:tab w:val="left" w:pos="630"/>
          <w:tab w:val="left" w:pos="1080"/>
        </w:tabs>
        <w:ind w:right="-450" w:hanging="1800"/>
        <w:rPr>
          <w:sz w:val="20"/>
        </w:rPr>
      </w:pPr>
      <w:r w:rsidRPr="00BE5EC2">
        <w:rPr>
          <w:b/>
          <w:sz w:val="20"/>
        </w:rPr>
        <w:tab/>
      </w:r>
      <w:r w:rsidRPr="00BE5EC2">
        <w:rPr>
          <w:b/>
          <w:sz w:val="20"/>
        </w:rPr>
        <w:tab/>
      </w:r>
    </w:p>
    <w:p w:rsidR="00577B11" w:rsidRDefault="0059386B"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p>
    <w:p w:rsidR="00F33AED" w:rsidRPr="00E00805" w:rsidRDefault="00F33AED" w:rsidP="00491580">
      <w:pPr>
        <w:pStyle w:val="BodyText"/>
        <w:tabs>
          <w:tab w:val="left" w:pos="360"/>
          <w:tab w:val="left" w:pos="540"/>
          <w:tab w:val="left" w:pos="630"/>
          <w:tab w:val="left" w:pos="1080"/>
        </w:tabs>
        <w:ind w:right="-450" w:hanging="1800"/>
        <w:rPr>
          <w:sz w:val="20"/>
        </w:rPr>
      </w:pPr>
    </w:p>
    <w:p w:rsidR="0059386B" w:rsidRPr="00E00805" w:rsidRDefault="008E3A72"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r w:rsidRPr="00E00805">
        <w:rPr>
          <w:sz w:val="20"/>
        </w:rPr>
        <w:tab/>
        <w:t xml:space="preserve">     </w:t>
      </w:r>
      <w:r w:rsidR="00F22956">
        <w:rPr>
          <w:sz w:val="20"/>
        </w:rPr>
        <w:t>Loans and b</w:t>
      </w:r>
      <w:r w:rsidR="0059386B" w:rsidRPr="00E00805">
        <w:rPr>
          <w:sz w:val="20"/>
        </w:rPr>
        <w:t>orrowings denominated in foreign currencies are as follows:-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b/>
                <w:sz w:val="20"/>
              </w:rPr>
            </w:pPr>
          </w:p>
        </w:tc>
        <w:tc>
          <w:tcPr>
            <w:tcW w:w="1440" w:type="dxa"/>
            <w:tcBorders>
              <w:bottom w:val="single" w:sz="4" w:space="0" w:color="auto"/>
            </w:tcBorders>
          </w:tcPr>
          <w:p w:rsidR="00361F69"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 xml:space="preserve">Foreign </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Currency</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’000</w:t>
            </w:r>
          </w:p>
        </w:tc>
      </w:tr>
      <w:tr w:rsidR="0059386B" w:rsidRPr="0017137F">
        <w:tc>
          <w:tcPr>
            <w:tcW w:w="5670" w:type="dxa"/>
          </w:tcPr>
          <w:p w:rsidR="0059386B" w:rsidRPr="0017137F" w:rsidRDefault="0059386B" w:rsidP="00361F69">
            <w:pPr>
              <w:pStyle w:val="BodyText"/>
              <w:tabs>
                <w:tab w:val="left" w:pos="360"/>
                <w:tab w:val="left" w:pos="540"/>
                <w:tab w:val="left" w:pos="630"/>
                <w:tab w:val="left" w:pos="1080"/>
              </w:tabs>
              <w:ind w:right="-450" w:hanging="108"/>
              <w:rPr>
                <w:sz w:val="20"/>
              </w:rPr>
            </w:pPr>
            <w:r w:rsidRPr="0017137F">
              <w:rPr>
                <w:sz w:val="20"/>
              </w:rPr>
              <w:t>Fijian Dollar</w:t>
            </w:r>
          </w:p>
        </w:tc>
        <w:tc>
          <w:tcPr>
            <w:tcW w:w="1440" w:type="dxa"/>
            <w:tcBorders>
              <w:top w:val="single" w:sz="4" w:space="0" w:color="auto"/>
              <w:left w:val="single" w:sz="4" w:space="0" w:color="auto"/>
              <w:right w:val="single" w:sz="4" w:space="0" w:color="auto"/>
            </w:tcBorders>
          </w:tcPr>
          <w:p w:rsidR="0059386B" w:rsidRPr="00AC3791" w:rsidRDefault="00513185" w:rsidP="00AC3791">
            <w:pPr>
              <w:pStyle w:val="BodyText"/>
              <w:tabs>
                <w:tab w:val="left" w:pos="360"/>
                <w:tab w:val="left" w:pos="540"/>
                <w:tab w:val="left" w:pos="630"/>
                <w:tab w:val="left" w:pos="1080"/>
              </w:tabs>
              <w:ind w:right="-450" w:hanging="108"/>
              <w:jc w:val="center"/>
              <w:rPr>
                <w:sz w:val="20"/>
              </w:rPr>
            </w:pPr>
            <w:r w:rsidRPr="00AC3791">
              <w:rPr>
                <w:sz w:val="20"/>
              </w:rPr>
              <w:t>1</w:t>
            </w:r>
            <w:r w:rsidR="00AC3791" w:rsidRPr="00AC3791">
              <w:rPr>
                <w:sz w:val="20"/>
              </w:rPr>
              <w:t>18</w:t>
            </w:r>
            <w:r w:rsidR="005F4D8F" w:rsidRPr="00AC3791">
              <w:rPr>
                <w:sz w:val="20"/>
              </w:rPr>
              <w:t>,</w:t>
            </w:r>
            <w:r w:rsidR="00AC3791" w:rsidRPr="00AC3791">
              <w:rPr>
                <w:sz w:val="20"/>
              </w:rPr>
              <w:t>320</w:t>
            </w:r>
          </w:p>
        </w:tc>
      </w:tr>
      <w:tr w:rsidR="0059386B" w:rsidRPr="0017137F">
        <w:tc>
          <w:tcPr>
            <w:tcW w:w="5670" w:type="dxa"/>
          </w:tcPr>
          <w:p w:rsidR="0059386B" w:rsidRPr="0017137F" w:rsidRDefault="00A97B8A" w:rsidP="00361F69">
            <w:pPr>
              <w:pStyle w:val="BodyText"/>
              <w:tabs>
                <w:tab w:val="left" w:pos="360"/>
                <w:tab w:val="left" w:pos="540"/>
                <w:tab w:val="left" w:pos="630"/>
                <w:tab w:val="left" w:pos="1080"/>
              </w:tabs>
              <w:ind w:right="-450" w:hanging="108"/>
              <w:rPr>
                <w:sz w:val="20"/>
              </w:rPr>
            </w:pPr>
            <w:r w:rsidRPr="0017137F">
              <w:rPr>
                <w:sz w:val="20"/>
              </w:rPr>
              <w:t xml:space="preserve">Papua New Guinea </w:t>
            </w:r>
            <w:r w:rsidR="0059386B" w:rsidRPr="0017137F">
              <w:rPr>
                <w:sz w:val="20"/>
              </w:rPr>
              <w:t>Kina</w:t>
            </w:r>
          </w:p>
        </w:tc>
        <w:tc>
          <w:tcPr>
            <w:tcW w:w="1440" w:type="dxa"/>
            <w:tcBorders>
              <w:left w:val="single" w:sz="4" w:space="0" w:color="auto"/>
              <w:right w:val="single" w:sz="4" w:space="0" w:color="auto"/>
            </w:tcBorders>
          </w:tcPr>
          <w:p w:rsidR="0059386B" w:rsidRPr="00AC3791" w:rsidRDefault="005F4D8F" w:rsidP="00EE3C9E">
            <w:pPr>
              <w:pStyle w:val="BodyText"/>
              <w:tabs>
                <w:tab w:val="left" w:pos="360"/>
                <w:tab w:val="left" w:pos="540"/>
                <w:tab w:val="left" w:pos="630"/>
                <w:tab w:val="left" w:pos="1080"/>
              </w:tabs>
              <w:ind w:right="-450" w:hanging="108"/>
              <w:jc w:val="center"/>
              <w:rPr>
                <w:sz w:val="20"/>
              </w:rPr>
            </w:pPr>
            <w:r w:rsidRPr="00AC3791">
              <w:rPr>
                <w:sz w:val="20"/>
              </w:rPr>
              <w:t>3</w:t>
            </w:r>
            <w:r w:rsidR="00EE3C9E">
              <w:rPr>
                <w:sz w:val="20"/>
              </w:rPr>
              <w:t>32</w:t>
            </w:r>
            <w:r w:rsidRPr="00AC3791">
              <w:rPr>
                <w:sz w:val="20"/>
              </w:rPr>
              <w:t>,</w:t>
            </w:r>
            <w:r w:rsidR="00EE3C9E">
              <w:rPr>
                <w:sz w:val="20"/>
              </w:rPr>
              <w:t>252</w:t>
            </w:r>
          </w:p>
        </w:tc>
      </w:tr>
      <w:tr w:rsidR="0059386B">
        <w:tc>
          <w:tcPr>
            <w:tcW w:w="5670" w:type="dxa"/>
          </w:tcPr>
          <w:p w:rsidR="0059386B" w:rsidRPr="0017137F" w:rsidRDefault="0059386B" w:rsidP="00361F69">
            <w:pPr>
              <w:pStyle w:val="BodyText"/>
              <w:tabs>
                <w:tab w:val="left" w:pos="360"/>
                <w:tab w:val="left" w:pos="540"/>
                <w:tab w:val="left" w:pos="630"/>
                <w:tab w:val="left" w:pos="1080"/>
              </w:tabs>
              <w:ind w:right="-450" w:hanging="108"/>
              <w:rPr>
                <w:sz w:val="20"/>
              </w:rPr>
            </w:pPr>
            <w:r w:rsidRPr="0017137F">
              <w:rPr>
                <w:sz w:val="20"/>
              </w:rPr>
              <w:t>U</w:t>
            </w:r>
            <w:r w:rsidR="00A97B8A" w:rsidRPr="0017137F">
              <w:rPr>
                <w:sz w:val="20"/>
              </w:rPr>
              <w:t xml:space="preserve">nited </w:t>
            </w:r>
            <w:r w:rsidRPr="0017137F">
              <w:rPr>
                <w:sz w:val="20"/>
              </w:rPr>
              <w:t>S</w:t>
            </w:r>
            <w:r w:rsidR="00A97B8A" w:rsidRPr="0017137F">
              <w:rPr>
                <w:sz w:val="20"/>
              </w:rPr>
              <w:t>tates</w:t>
            </w:r>
            <w:r w:rsidRPr="0017137F">
              <w:rPr>
                <w:sz w:val="20"/>
              </w:rPr>
              <w:t xml:space="preserve"> Dollar</w:t>
            </w:r>
          </w:p>
          <w:p w:rsidR="001B4B5E" w:rsidRPr="0017137F" w:rsidRDefault="00BC1945" w:rsidP="00361F69">
            <w:pPr>
              <w:pStyle w:val="BodyText"/>
              <w:tabs>
                <w:tab w:val="left" w:pos="360"/>
                <w:tab w:val="left" w:pos="540"/>
                <w:tab w:val="left" w:pos="630"/>
                <w:tab w:val="left" w:pos="1080"/>
              </w:tabs>
              <w:ind w:right="-450" w:hanging="108"/>
              <w:rPr>
                <w:sz w:val="20"/>
              </w:rPr>
            </w:pPr>
            <w:r w:rsidRPr="0017137F">
              <w:rPr>
                <w:sz w:val="20"/>
              </w:rPr>
              <w:t>Vanuatu V</w:t>
            </w:r>
            <w:r w:rsidR="001B4B5E" w:rsidRPr="0017137F">
              <w:rPr>
                <w:sz w:val="20"/>
              </w:rPr>
              <w:t>atu</w:t>
            </w:r>
          </w:p>
          <w:p w:rsidR="001B4B5E" w:rsidRPr="0017137F" w:rsidRDefault="001B4B5E" w:rsidP="00361F69">
            <w:pPr>
              <w:pStyle w:val="BodyText"/>
              <w:tabs>
                <w:tab w:val="left" w:pos="360"/>
                <w:tab w:val="left" w:pos="540"/>
                <w:tab w:val="left" w:pos="630"/>
                <w:tab w:val="left" w:pos="1080"/>
              </w:tabs>
              <w:ind w:right="-450" w:hanging="108"/>
              <w:rPr>
                <w:sz w:val="20"/>
              </w:rPr>
            </w:pPr>
            <w:r w:rsidRPr="0017137F">
              <w:rPr>
                <w:sz w:val="20"/>
              </w:rPr>
              <w:t>Solomon Dollar</w:t>
            </w:r>
          </w:p>
        </w:tc>
        <w:tc>
          <w:tcPr>
            <w:tcW w:w="1440" w:type="dxa"/>
            <w:tcBorders>
              <w:left w:val="single" w:sz="4" w:space="0" w:color="auto"/>
              <w:bottom w:val="single" w:sz="4" w:space="0" w:color="auto"/>
              <w:right w:val="single" w:sz="4" w:space="0" w:color="auto"/>
            </w:tcBorders>
          </w:tcPr>
          <w:p w:rsidR="0059386B" w:rsidRPr="00AC3791" w:rsidRDefault="00EE130B" w:rsidP="004017FB">
            <w:pPr>
              <w:pStyle w:val="BodyText"/>
              <w:tabs>
                <w:tab w:val="left" w:pos="360"/>
                <w:tab w:val="left" w:pos="540"/>
                <w:tab w:val="left" w:pos="630"/>
                <w:tab w:val="left" w:pos="1080"/>
              </w:tabs>
              <w:ind w:right="-450" w:hanging="108"/>
              <w:jc w:val="center"/>
              <w:rPr>
                <w:sz w:val="20"/>
              </w:rPr>
            </w:pPr>
            <w:r w:rsidRPr="00AC3791">
              <w:rPr>
                <w:sz w:val="20"/>
              </w:rPr>
              <w:t xml:space="preserve"> </w:t>
            </w:r>
            <w:r w:rsidR="004017FB" w:rsidRPr="00AC3791">
              <w:rPr>
                <w:sz w:val="20"/>
              </w:rPr>
              <w:t xml:space="preserve"> </w:t>
            </w:r>
            <w:r w:rsidR="00513185" w:rsidRPr="00AC3791">
              <w:rPr>
                <w:sz w:val="20"/>
              </w:rPr>
              <w:t>3</w:t>
            </w:r>
            <w:r w:rsidR="00CB6A7A" w:rsidRPr="00AC3791">
              <w:rPr>
                <w:sz w:val="20"/>
              </w:rPr>
              <w:t>7</w:t>
            </w:r>
            <w:r w:rsidR="004017FB" w:rsidRPr="00AC3791">
              <w:rPr>
                <w:sz w:val="20"/>
              </w:rPr>
              <w:t>,</w:t>
            </w:r>
            <w:r w:rsidR="005F4D8F" w:rsidRPr="00AC3791">
              <w:rPr>
                <w:sz w:val="20"/>
              </w:rPr>
              <w:t>602</w:t>
            </w:r>
          </w:p>
          <w:p w:rsidR="001B4B5E" w:rsidRPr="00AC3791" w:rsidRDefault="00AC3791" w:rsidP="004017FB">
            <w:pPr>
              <w:pStyle w:val="BodyText"/>
              <w:tabs>
                <w:tab w:val="left" w:pos="360"/>
                <w:tab w:val="left" w:pos="540"/>
                <w:tab w:val="left" w:pos="630"/>
                <w:tab w:val="left" w:pos="1080"/>
              </w:tabs>
              <w:ind w:right="-450" w:hanging="108"/>
              <w:jc w:val="center"/>
              <w:rPr>
                <w:sz w:val="20"/>
              </w:rPr>
            </w:pPr>
            <w:r w:rsidRPr="00AC3791">
              <w:rPr>
                <w:sz w:val="20"/>
              </w:rPr>
              <w:t>5</w:t>
            </w:r>
            <w:r w:rsidR="000A5680">
              <w:rPr>
                <w:sz w:val="20"/>
              </w:rPr>
              <w:t>67</w:t>
            </w:r>
            <w:r w:rsidR="005F4D8F" w:rsidRPr="00AC3791">
              <w:rPr>
                <w:sz w:val="20"/>
              </w:rPr>
              <w:t>,</w:t>
            </w:r>
            <w:r w:rsidR="00EE3C9E">
              <w:rPr>
                <w:sz w:val="20"/>
              </w:rPr>
              <w:t>647</w:t>
            </w:r>
          </w:p>
          <w:p w:rsidR="001B4B5E" w:rsidRPr="00AC3791" w:rsidRDefault="001B4B5E" w:rsidP="00DE100E">
            <w:pPr>
              <w:pStyle w:val="BodyText"/>
              <w:tabs>
                <w:tab w:val="left" w:pos="360"/>
                <w:tab w:val="left" w:pos="540"/>
                <w:tab w:val="left" w:pos="630"/>
                <w:tab w:val="left" w:pos="1080"/>
              </w:tabs>
              <w:ind w:right="-450" w:hanging="108"/>
              <w:jc w:val="center"/>
              <w:rPr>
                <w:sz w:val="20"/>
              </w:rPr>
            </w:pPr>
            <w:r w:rsidRPr="00AC3791">
              <w:rPr>
                <w:sz w:val="20"/>
              </w:rPr>
              <w:t xml:space="preserve">  </w:t>
            </w:r>
            <w:r w:rsidR="00DE100E">
              <w:rPr>
                <w:sz w:val="20"/>
              </w:rPr>
              <w:t>26</w:t>
            </w:r>
            <w:r w:rsidR="005F4D8F" w:rsidRPr="00AC3791">
              <w:rPr>
                <w:sz w:val="20"/>
              </w:rPr>
              <w:t>,</w:t>
            </w:r>
            <w:r w:rsidR="00DE100E">
              <w:rPr>
                <w:sz w:val="20"/>
              </w:rPr>
              <w:t>248</w:t>
            </w:r>
          </w:p>
        </w:tc>
      </w:tr>
    </w:tbl>
    <w:p w:rsidR="003B369C" w:rsidRDefault="0059386B" w:rsidP="00491580">
      <w:pPr>
        <w:pStyle w:val="BodyText"/>
        <w:tabs>
          <w:tab w:val="left" w:pos="360"/>
          <w:tab w:val="left" w:pos="540"/>
          <w:tab w:val="left" w:pos="630"/>
          <w:tab w:val="left" w:pos="1080"/>
        </w:tabs>
        <w:ind w:right="-450" w:hanging="1800"/>
        <w:rPr>
          <w:sz w:val="20"/>
        </w:rPr>
      </w:pPr>
      <w:r>
        <w:rPr>
          <w:sz w:val="20"/>
        </w:rPr>
        <w:tab/>
      </w:r>
    </w:p>
    <w:p w:rsidR="003B369C" w:rsidRDefault="003B369C" w:rsidP="00491580">
      <w:pPr>
        <w:pStyle w:val="BodyText"/>
        <w:tabs>
          <w:tab w:val="left" w:pos="360"/>
          <w:tab w:val="left" w:pos="540"/>
          <w:tab w:val="left" w:pos="630"/>
          <w:tab w:val="left" w:pos="1080"/>
        </w:tabs>
        <w:ind w:right="-450" w:hanging="1800"/>
        <w:rPr>
          <w:sz w:val="20"/>
        </w:rPr>
      </w:pPr>
    </w:p>
    <w:p w:rsidR="003B369C" w:rsidRDefault="003B369C" w:rsidP="00491580">
      <w:pPr>
        <w:pStyle w:val="BodyText"/>
        <w:tabs>
          <w:tab w:val="left" w:pos="360"/>
          <w:tab w:val="left" w:pos="540"/>
          <w:tab w:val="left" w:pos="630"/>
          <w:tab w:val="left" w:pos="1080"/>
        </w:tabs>
        <w:ind w:right="-450" w:hanging="1800"/>
        <w:rPr>
          <w:sz w:val="20"/>
        </w:rPr>
      </w:pPr>
    </w:p>
    <w:p w:rsidR="0059386B" w:rsidRDefault="00E1355D" w:rsidP="001D37F3">
      <w:pPr>
        <w:pStyle w:val="BodyText"/>
        <w:tabs>
          <w:tab w:val="left" w:pos="360"/>
          <w:tab w:val="left" w:pos="540"/>
          <w:tab w:val="left" w:pos="630"/>
          <w:tab w:val="left" w:pos="720"/>
          <w:tab w:val="left" w:pos="1080"/>
        </w:tabs>
        <w:ind w:left="1800" w:right="-450" w:hanging="1800"/>
        <w:rPr>
          <w:b/>
          <w:sz w:val="20"/>
        </w:rPr>
      </w:pPr>
      <w:r w:rsidRPr="00764F09">
        <w:rPr>
          <w:b/>
          <w:sz w:val="20"/>
        </w:rPr>
        <w:t>B</w:t>
      </w:r>
      <w:r w:rsidR="0059386B" w:rsidRPr="00764F09">
        <w:rPr>
          <w:b/>
          <w:sz w:val="20"/>
        </w:rPr>
        <w:t>10</w:t>
      </w:r>
      <w:r w:rsidR="0059386B">
        <w:rPr>
          <w:sz w:val="20"/>
        </w:rPr>
        <w:tab/>
      </w:r>
      <w:r w:rsidR="0059386B">
        <w:rPr>
          <w:sz w:val="20"/>
        </w:rPr>
        <w:tab/>
      </w:r>
      <w:r w:rsidR="0059386B">
        <w:rPr>
          <w:sz w:val="20"/>
        </w:rPr>
        <w:tab/>
      </w:r>
      <w:r w:rsidR="006514DE" w:rsidRPr="006514DE">
        <w:rPr>
          <w:b/>
          <w:sz w:val="20"/>
        </w:rPr>
        <w:t>D</w:t>
      </w:r>
      <w:r w:rsidR="006514DE">
        <w:rPr>
          <w:b/>
          <w:sz w:val="20"/>
        </w:rPr>
        <w:t>erivative financial instruments</w:t>
      </w:r>
    </w:p>
    <w:p w:rsidR="00AE5E48" w:rsidRDefault="00AE5E48" w:rsidP="00491580">
      <w:pPr>
        <w:pStyle w:val="BodyText"/>
        <w:tabs>
          <w:tab w:val="left" w:pos="360"/>
          <w:tab w:val="left" w:pos="540"/>
          <w:tab w:val="left" w:pos="630"/>
          <w:tab w:val="left" w:pos="1080"/>
        </w:tabs>
        <w:ind w:left="630" w:right="-450" w:hanging="1800"/>
        <w:rPr>
          <w:sz w:val="20"/>
        </w:rPr>
      </w:pPr>
    </w:p>
    <w:p w:rsidR="00454169" w:rsidRPr="00A634F6" w:rsidRDefault="00B93910" w:rsidP="006514DE">
      <w:pPr>
        <w:pStyle w:val="BodyText"/>
        <w:tabs>
          <w:tab w:val="left" w:pos="360"/>
          <w:tab w:val="left" w:pos="540"/>
          <w:tab w:val="left" w:pos="630"/>
          <w:tab w:val="left" w:pos="1080"/>
        </w:tabs>
        <w:ind w:left="630" w:right="-180" w:hanging="1800"/>
        <w:rPr>
          <w:sz w:val="20"/>
        </w:rPr>
      </w:pPr>
      <w:r>
        <w:rPr>
          <w:sz w:val="20"/>
        </w:rPr>
        <w:tab/>
      </w:r>
      <w:r>
        <w:rPr>
          <w:sz w:val="20"/>
        </w:rPr>
        <w:tab/>
      </w:r>
      <w:r>
        <w:rPr>
          <w:sz w:val="20"/>
        </w:rPr>
        <w:tab/>
      </w:r>
      <w:r w:rsidR="00F34808" w:rsidRPr="00A634F6">
        <w:rPr>
          <w:sz w:val="20"/>
        </w:rPr>
        <w:t>The f</w:t>
      </w:r>
      <w:r w:rsidR="00E51A20" w:rsidRPr="00A634F6">
        <w:rPr>
          <w:sz w:val="20"/>
        </w:rPr>
        <w:t>orward currency contracts used to hedge the Group’s sales and purchases denominated in various foreign currencies</w:t>
      </w:r>
      <w:r w:rsidR="00F34808" w:rsidRPr="00A634F6">
        <w:rPr>
          <w:sz w:val="20"/>
        </w:rPr>
        <w:t xml:space="preserve"> are </w:t>
      </w:r>
      <w:r w:rsidR="006514DE" w:rsidRPr="00A634F6">
        <w:rPr>
          <w:sz w:val="20"/>
        </w:rPr>
        <w:t>as follows:</w:t>
      </w:r>
      <w:r w:rsidR="00FC4A94" w:rsidRPr="00A634F6">
        <w:rPr>
          <w:sz w:val="20"/>
        </w:rPr>
        <w:t xml:space="preserve">  </w:t>
      </w:r>
    </w:p>
    <w:p w:rsidR="00277109" w:rsidRPr="00A634F6" w:rsidRDefault="00277109" w:rsidP="00491580">
      <w:pPr>
        <w:pStyle w:val="BodyText"/>
        <w:tabs>
          <w:tab w:val="left" w:pos="360"/>
          <w:tab w:val="left" w:pos="540"/>
          <w:tab w:val="left" w:pos="630"/>
          <w:tab w:val="left" w:pos="1080"/>
        </w:tabs>
        <w:ind w:left="720" w:right="-450" w:hanging="1800"/>
        <w:rPr>
          <w:sz w:val="20"/>
        </w:rPr>
      </w:pPr>
    </w:p>
    <w:tbl>
      <w:tblPr>
        <w:tblW w:w="7290" w:type="dxa"/>
        <w:tblInd w:w="828" w:type="dxa"/>
        <w:tblLayout w:type="fixed"/>
        <w:tblLook w:val="0000"/>
      </w:tblPr>
      <w:tblGrid>
        <w:gridCol w:w="2790"/>
        <w:gridCol w:w="1440"/>
        <w:gridCol w:w="1620"/>
        <w:gridCol w:w="1440"/>
      </w:tblGrid>
      <w:tr w:rsidR="006514DE" w:rsidRPr="00A634F6">
        <w:tc>
          <w:tcPr>
            <w:tcW w:w="2790" w:type="dxa"/>
          </w:tcPr>
          <w:p w:rsidR="006514DE" w:rsidRPr="00A634F6" w:rsidRDefault="006514DE" w:rsidP="00B93910">
            <w:pPr>
              <w:pStyle w:val="BodyText"/>
              <w:tabs>
                <w:tab w:val="left" w:pos="360"/>
                <w:tab w:val="left" w:pos="540"/>
                <w:tab w:val="left" w:pos="630"/>
                <w:tab w:val="left" w:pos="1080"/>
              </w:tabs>
              <w:ind w:right="-108" w:hanging="108"/>
              <w:rPr>
                <w:sz w:val="20"/>
              </w:rPr>
            </w:pPr>
          </w:p>
        </w:tc>
        <w:tc>
          <w:tcPr>
            <w:tcW w:w="1440" w:type="dxa"/>
          </w:tcPr>
          <w:p w:rsidR="006514DE" w:rsidRPr="00A634F6" w:rsidRDefault="006514DE" w:rsidP="00B93910">
            <w:pPr>
              <w:pStyle w:val="BodyText"/>
              <w:tabs>
                <w:tab w:val="left" w:pos="360"/>
                <w:tab w:val="left" w:pos="540"/>
                <w:tab w:val="left" w:pos="630"/>
                <w:tab w:val="left" w:pos="1080"/>
              </w:tabs>
              <w:ind w:right="-108" w:hanging="108"/>
              <w:jc w:val="center"/>
              <w:rPr>
                <w:sz w:val="20"/>
              </w:rPr>
            </w:pPr>
          </w:p>
        </w:tc>
        <w:tc>
          <w:tcPr>
            <w:tcW w:w="3060" w:type="dxa"/>
            <w:gridSpan w:val="2"/>
          </w:tcPr>
          <w:p w:rsidR="006514DE" w:rsidRPr="00A634F6" w:rsidRDefault="006514DE" w:rsidP="00B93910">
            <w:pPr>
              <w:pStyle w:val="BodyText"/>
              <w:tabs>
                <w:tab w:val="left" w:pos="360"/>
                <w:tab w:val="left" w:pos="540"/>
                <w:tab w:val="left" w:pos="630"/>
                <w:tab w:val="left" w:pos="1080"/>
              </w:tabs>
              <w:ind w:right="-108" w:hanging="108"/>
              <w:jc w:val="center"/>
              <w:rPr>
                <w:sz w:val="20"/>
              </w:rPr>
            </w:pPr>
            <w:r w:rsidRPr="00A634F6">
              <w:rPr>
                <w:sz w:val="20"/>
              </w:rPr>
              <w:t>&lt;-------</w:t>
            </w:r>
            <w:r w:rsidR="00D727AD" w:rsidRPr="00A634F6">
              <w:rPr>
                <w:sz w:val="20"/>
              </w:rPr>
              <w:t>-----</w:t>
            </w:r>
            <w:r w:rsidRPr="00A634F6">
              <w:rPr>
                <w:sz w:val="20"/>
              </w:rPr>
              <w:t>-- Fair Value -----</w:t>
            </w:r>
            <w:r w:rsidR="00D727AD" w:rsidRPr="00A634F6">
              <w:rPr>
                <w:sz w:val="20"/>
              </w:rPr>
              <w:t>----</w:t>
            </w:r>
            <w:r w:rsidRPr="00A634F6">
              <w:rPr>
                <w:sz w:val="20"/>
              </w:rPr>
              <w:t>----&gt;</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u w:val="single"/>
              </w:rPr>
            </w:pP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Contract/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Notional</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Amount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62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 xml:space="preserve"> Assets</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Liabilities (RM’000)</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b/>
                <w:sz w:val="20"/>
              </w:rPr>
            </w:pPr>
            <w:r w:rsidRPr="00A634F6">
              <w:rPr>
                <w:b/>
                <w:sz w:val="20"/>
              </w:rPr>
              <w:t>Non-hedging derivatives:</w:t>
            </w: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r>
      <w:tr w:rsidR="00E51A20" w:rsidRPr="00A634F6">
        <w:tc>
          <w:tcPr>
            <w:tcW w:w="2790" w:type="dxa"/>
            <w:tcBorders>
              <w:bottom w:val="single" w:sz="4" w:space="0" w:color="auto"/>
            </w:tcBorders>
          </w:tcPr>
          <w:p w:rsidR="00E51A20" w:rsidRPr="00BE5610" w:rsidRDefault="00E51A20" w:rsidP="00B93910">
            <w:pPr>
              <w:pStyle w:val="BodyText"/>
              <w:tabs>
                <w:tab w:val="left" w:pos="360"/>
                <w:tab w:val="left" w:pos="540"/>
                <w:tab w:val="left" w:pos="630"/>
                <w:tab w:val="left" w:pos="1080"/>
              </w:tabs>
              <w:ind w:right="-108" w:hanging="108"/>
              <w:rPr>
                <w:b/>
                <w:sz w:val="20"/>
              </w:rPr>
            </w:pPr>
            <w:r w:rsidRPr="00BE5610">
              <w:rPr>
                <w:b/>
                <w:sz w:val="20"/>
              </w:rPr>
              <w:t>Current</w:t>
            </w:r>
            <w:r w:rsidR="00F34808" w:rsidRPr="00BE5610">
              <w:rPr>
                <w:b/>
                <w:sz w:val="20"/>
              </w:rPr>
              <w:t xml:space="preserve"> (Less than 1 year)</w:t>
            </w:r>
          </w:p>
        </w:tc>
        <w:tc>
          <w:tcPr>
            <w:tcW w:w="1440" w:type="dxa"/>
          </w:tcPr>
          <w:p w:rsidR="00E51A20" w:rsidRPr="00A9299D"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A9299D"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A9299D"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Borders>
              <w:top w:val="single" w:sz="4" w:space="0" w:color="auto"/>
            </w:tcBorders>
          </w:tcPr>
          <w:p w:rsidR="00E51A20" w:rsidRPr="00BE5610" w:rsidRDefault="00E51A20" w:rsidP="00E51A20">
            <w:pPr>
              <w:pStyle w:val="BodyText"/>
              <w:tabs>
                <w:tab w:val="left" w:pos="360"/>
                <w:tab w:val="left" w:pos="540"/>
                <w:tab w:val="left" w:pos="630"/>
                <w:tab w:val="left" w:pos="1080"/>
              </w:tabs>
              <w:ind w:right="-108" w:hanging="108"/>
              <w:jc w:val="left"/>
              <w:rPr>
                <w:sz w:val="20"/>
              </w:rPr>
            </w:pPr>
            <w:r w:rsidRPr="00BE5610">
              <w:rPr>
                <w:sz w:val="20"/>
              </w:rPr>
              <w:t>Forward currency contracts</w:t>
            </w:r>
          </w:p>
        </w:tc>
        <w:tc>
          <w:tcPr>
            <w:tcW w:w="1440" w:type="dxa"/>
          </w:tcPr>
          <w:p w:rsidR="00E51A20" w:rsidRPr="00A9299D" w:rsidRDefault="00A9299D" w:rsidP="008C414D">
            <w:pPr>
              <w:pStyle w:val="BodyText"/>
              <w:tabs>
                <w:tab w:val="left" w:pos="360"/>
                <w:tab w:val="left" w:pos="540"/>
                <w:tab w:val="left" w:pos="630"/>
                <w:tab w:val="left" w:pos="1080"/>
              </w:tabs>
              <w:ind w:right="-108" w:hanging="108"/>
              <w:jc w:val="center"/>
              <w:rPr>
                <w:sz w:val="20"/>
              </w:rPr>
            </w:pPr>
            <w:r w:rsidRPr="00A9299D">
              <w:rPr>
                <w:sz w:val="20"/>
              </w:rPr>
              <w:t>18,312</w:t>
            </w:r>
          </w:p>
        </w:tc>
        <w:tc>
          <w:tcPr>
            <w:tcW w:w="1620" w:type="dxa"/>
          </w:tcPr>
          <w:p w:rsidR="00E51A20" w:rsidRPr="00A9299D" w:rsidRDefault="00A9299D" w:rsidP="00E02328">
            <w:pPr>
              <w:pStyle w:val="BodyText"/>
              <w:tabs>
                <w:tab w:val="left" w:pos="360"/>
                <w:tab w:val="left" w:pos="540"/>
                <w:tab w:val="left" w:pos="630"/>
                <w:tab w:val="left" w:pos="1080"/>
              </w:tabs>
              <w:ind w:right="-108" w:hanging="108"/>
              <w:jc w:val="center"/>
              <w:rPr>
                <w:sz w:val="20"/>
              </w:rPr>
            </w:pPr>
            <w:r w:rsidRPr="00A9299D">
              <w:rPr>
                <w:sz w:val="20"/>
              </w:rPr>
              <w:t>6</w:t>
            </w:r>
            <w:r w:rsidR="00E02328">
              <w:rPr>
                <w:sz w:val="20"/>
              </w:rPr>
              <w:t>33</w:t>
            </w:r>
          </w:p>
        </w:tc>
        <w:tc>
          <w:tcPr>
            <w:tcW w:w="1440" w:type="dxa"/>
          </w:tcPr>
          <w:p w:rsidR="00E51A20" w:rsidRPr="00A9299D" w:rsidRDefault="00E51A20" w:rsidP="00E02328">
            <w:pPr>
              <w:pStyle w:val="BodyText"/>
              <w:tabs>
                <w:tab w:val="left" w:pos="360"/>
                <w:tab w:val="left" w:pos="540"/>
                <w:tab w:val="left" w:pos="630"/>
                <w:tab w:val="left" w:pos="1080"/>
              </w:tabs>
              <w:ind w:right="-108" w:hanging="108"/>
              <w:jc w:val="center"/>
              <w:rPr>
                <w:sz w:val="20"/>
              </w:rPr>
            </w:pPr>
            <w:r w:rsidRPr="00A9299D">
              <w:rPr>
                <w:sz w:val="20"/>
              </w:rPr>
              <w:t>(</w:t>
            </w:r>
            <w:r w:rsidR="00E02328">
              <w:rPr>
                <w:sz w:val="20"/>
              </w:rPr>
              <w:t>42</w:t>
            </w:r>
            <w:r w:rsidRPr="00A9299D">
              <w:rPr>
                <w:sz w:val="20"/>
              </w:rPr>
              <w:t>)</w:t>
            </w:r>
          </w:p>
        </w:tc>
      </w:tr>
      <w:tr w:rsidR="00E51A20" w:rsidRPr="00A634F6">
        <w:tc>
          <w:tcPr>
            <w:tcW w:w="2790" w:type="dxa"/>
          </w:tcPr>
          <w:p w:rsidR="00E51A20" w:rsidRPr="00BE5610"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9299D"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A9299D"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A9299D"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Pr>
          <w:p w:rsidR="00E51A20" w:rsidRPr="00BE5610" w:rsidRDefault="00E51A20" w:rsidP="00B93910">
            <w:pPr>
              <w:pStyle w:val="BodyText"/>
              <w:tabs>
                <w:tab w:val="left" w:pos="360"/>
                <w:tab w:val="left" w:pos="540"/>
                <w:tab w:val="left" w:pos="630"/>
                <w:tab w:val="left" w:pos="1080"/>
              </w:tabs>
              <w:ind w:right="-108" w:hanging="108"/>
              <w:rPr>
                <w:sz w:val="20"/>
              </w:rPr>
            </w:pPr>
          </w:p>
        </w:tc>
        <w:tc>
          <w:tcPr>
            <w:tcW w:w="1440" w:type="dxa"/>
            <w:tcBorders>
              <w:top w:val="single" w:sz="4" w:space="0" w:color="auto"/>
              <w:bottom w:val="single" w:sz="12" w:space="0" w:color="auto"/>
            </w:tcBorders>
          </w:tcPr>
          <w:p w:rsidR="00E51A20" w:rsidRPr="00A9299D" w:rsidRDefault="00A9299D" w:rsidP="005E5986">
            <w:pPr>
              <w:pStyle w:val="BodyText"/>
              <w:tabs>
                <w:tab w:val="left" w:pos="360"/>
                <w:tab w:val="left" w:pos="540"/>
                <w:tab w:val="left" w:pos="630"/>
                <w:tab w:val="left" w:pos="1080"/>
              </w:tabs>
              <w:ind w:right="-108" w:hanging="108"/>
              <w:jc w:val="center"/>
              <w:rPr>
                <w:b/>
                <w:sz w:val="20"/>
              </w:rPr>
            </w:pPr>
            <w:r w:rsidRPr="00A9299D">
              <w:rPr>
                <w:b/>
                <w:sz w:val="20"/>
              </w:rPr>
              <w:t>18,312</w:t>
            </w:r>
          </w:p>
        </w:tc>
        <w:tc>
          <w:tcPr>
            <w:tcW w:w="1620" w:type="dxa"/>
            <w:tcBorders>
              <w:top w:val="single" w:sz="4" w:space="0" w:color="auto"/>
              <w:bottom w:val="single" w:sz="12" w:space="0" w:color="auto"/>
            </w:tcBorders>
          </w:tcPr>
          <w:p w:rsidR="00E51A20" w:rsidRPr="00A9299D" w:rsidRDefault="00A9299D" w:rsidP="00A97ED6">
            <w:pPr>
              <w:pStyle w:val="BodyText"/>
              <w:tabs>
                <w:tab w:val="left" w:pos="360"/>
                <w:tab w:val="left" w:pos="540"/>
                <w:tab w:val="left" w:pos="630"/>
                <w:tab w:val="left" w:pos="1080"/>
              </w:tabs>
              <w:ind w:right="-108" w:hanging="108"/>
              <w:jc w:val="center"/>
              <w:rPr>
                <w:b/>
                <w:sz w:val="20"/>
              </w:rPr>
            </w:pPr>
            <w:r w:rsidRPr="00A9299D">
              <w:rPr>
                <w:b/>
                <w:sz w:val="20"/>
              </w:rPr>
              <w:t>6</w:t>
            </w:r>
            <w:r w:rsidR="00E02328">
              <w:rPr>
                <w:b/>
                <w:sz w:val="20"/>
              </w:rPr>
              <w:t>33</w:t>
            </w:r>
          </w:p>
        </w:tc>
        <w:tc>
          <w:tcPr>
            <w:tcW w:w="1440" w:type="dxa"/>
            <w:tcBorders>
              <w:top w:val="single" w:sz="4" w:space="0" w:color="auto"/>
              <w:bottom w:val="single" w:sz="12" w:space="0" w:color="auto"/>
            </w:tcBorders>
          </w:tcPr>
          <w:p w:rsidR="00E51A20" w:rsidRPr="00A9299D" w:rsidRDefault="00E51A20" w:rsidP="00F94132">
            <w:pPr>
              <w:pStyle w:val="BodyText"/>
              <w:tabs>
                <w:tab w:val="left" w:pos="360"/>
                <w:tab w:val="left" w:pos="540"/>
                <w:tab w:val="left" w:pos="630"/>
                <w:tab w:val="left" w:pos="1080"/>
              </w:tabs>
              <w:ind w:right="-108" w:hanging="108"/>
              <w:jc w:val="center"/>
              <w:rPr>
                <w:b/>
                <w:sz w:val="20"/>
              </w:rPr>
            </w:pPr>
            <w:r w:rsidRPr="00A9299D">
              <w:rPr>
                <w:b/>
                <w:sz w:val="20"/>
              </w:rPr>
              <w:t>(</w:t>
            </w:r>
            <w:r w:rsidR="00E02328">
              <w:rPr>
                <w:b/>
                <w:sz w:val="20"/>
              </w:rPr>
              <w:t>42</w:t>
            </w:r>
            <w:r w:rsidRPr="00A9299D">
              <w:rPr>
                <w:b/>
                <w:sz w:val="20"/>
              </w:rPr>
              <w:t>)</w:t>
            </w:r>
          </w:p>
        </w:tc>
      </w:tr>
    </w:tbl>
    <w:p w:rsidR="009D72A3" w:rsidRPr="00A634F6" w:rsidRDefault="009D72A3" w:rsidP="00491580">
      <w:pPr>
        <w:pStyle w:val="BodyText"/>
        <w:tabs>
          <w:tab w:val="left" w:pos="360"/>
          <w:tab w:val="left" w:pos="540"/>
          <w:tab w:val="left" w:pos="630"/>
          <w:tab w:val="left" w:pos="900"/>
          <w:tab w:val="left" w:pos="1080"/>
        </w:tabs>
        <w:ind w:left="720" w:right="-450" w:hanging="1800"/>
        <w:rPr>
          <w:sz w:val="20"/>
        </w:rPr>
      </w:pPr>
    </w:p>
    <w:p w:rsidR="006514DE" w:rsidRDefault="006514DE" w:rsidP="006514DE">
      <w:pPr>
        <w:pStyle w:val="BodyText"/>
        <w:tabs>
          <w:tab w:val="left" w:pos="360"/>
          <w:tab w:val="left" w:pos="540"/>
          <w:tab w:val="left" w:pos="630"/>
          <w:tab w:val="left" w:pos="1080"/>
        </w:tabs>
        <w:ind w:left="630" w:right="-180" w:hanging="1800"/>
        <w:rPr>
          <w:sz w:val="20"/>
        </w:rPr>
      </w:pPr>
      <w:r w:rsidRPr="00A634F6">
        <w:rPr>
          <w:sz w:val="20"/>
        </w:rPr>
        <w:tab/>
      </w:r>
      <w:r w:rsidRPr="00A634F6">
        <w:rPr>
          <w:sz w:val="20"/>
        </w:rPr>
        <w:tab/>
      </w:r>
      <w:r w:rsidRPr="00A634F6">
        <w:rPr>
          <w:sz w:val="20"/>
        </w:rPr>
        <w:tab/>
        <w:t xml:space="preserve">During the current financial quarter, the Group recognized a </w:t>
      </w:r>
      <w:r w:rsidR="00F94132">
        <w:rPr>
          <w:sz w:val="20"/>
        </w:rPr>
        <w:t>gain</w:t>
      </w:r>
      <w:r w:rsidRPr="00A634F6">
        <w:rPr>
          <w:sz w:val="20"/>
        </w:rPr>
        <w:t xml:space="preserve"> of RM</w:t>
      </w:r>
      <w:r w:rsidR="00E02328">
        <w:rPr>
          <w:sz w:val="20"/>
        </w:rPr>
        <w:t>0.48</w:t>
      </w:r>
      <w:r w:rsidRPr="00A634F6">
        <w:rPr>
          <w:sz w:val="20"/>
        </w:rPr>
        <w:t xml:space="preserve"> million</w:t>
      </w:r>
      <w:r w:rsidR="00EE58C9" w:rsidRPr="00A634F6">
        <w:rPr>
          <w:sz w:val="20"/>
        </w:rPr>
        <w:t>,</w:t>
      </w:r>
      <w:r w:rsidRPr="00A634F6">
        <w:rPr>
          <w:sz w:val="20"/>
        </w:rPr>
        <w:t xml:space="preserve"> arising from fair value changes </w:t>
      </w:r>
      <w:r w:rsidR="00F34808" w:rsidRPr="00A634F6">
        <w:rPr>
          <w:sz w:val="20"/>
        </w:rPr>
        <w:t>in</w:t>
      </w:r>
      <w:r w:rsidRPr="00A634F6">
        <w:rPr>
          <w:sz w:val="20"/>
        </w:rPr>
        <w:t xml:space="preserve"> derivative assets and liabil</w:t>
      </w:r>
      <w:r w:rsidR="00F34808" w:rsidRPr="00A634F6">
        <w:rPr>
          <w:sz w:val="20"/>
        </w:rPr>
        <w:t>ities.  The fair value changes we</w:t>
      </w:r>
      <w:r w:rsidRPr="00A634F6">
        <w:rPr>
          <w:sz w:val="20"/>
        </w:rPr>
        <w:t>re attributable to</w:t>
      </w:r>
      <w:r w:rsidR="002E42A7" w:rsidRPr="00A634F6">
        <w:rPr>
          <w:sz w:val="20"/>
        </w:rPr>
        <w:t xml:space="preserve"> the</w:t>
      </w:r>
      <w:r w:rsidRPr="00A634F6">
        <w:rPr>
          <w:sz w:val="20"/>
        </w:rPr>
        <w:t xml:space="preserve"> changes in foreign exchange spot and forward rate</w:t>
      </w:r>
      <w:r w:rsidR="007C678F" w:rsidRPr="00A634F6">
        <w:rPr>
          <w:sz w:val="20"/>
        </w:rPr>
        <w:t>s</w:t>
      </w:r>
      <w:r w:rsidRPr="00A634F6">
        <w:rPr>
          <w:sz w:val="20"/>
        </w:rPr>
        <w:t>.</w:t>
      </w:r>
    </w:p>
    <w:p w:rsidR="00A802F8" w:rsidRDefault="00A802F8" w:rsidP="00491580">
      <w:pPr>
        <w:pStyle w:val="BodyText"/>
        <w:tabs>
          <w:tab w:val="left" w:pos="360"/>
          <w:tab w:val="left" w:pos="540"/>
          <w:tab w:val="left" w:pos="630"/>
          <w:tab w:val="left" w:pos="900"/>
          <w:tab w:val="left" w:pos="1080"/>
        </w:tabs>
        <w:ind w:left="720" w:right="-450" w:hanging="1800"/>
        <w:rPr>
          <w:sz w:val="20"/>
        </w:rPr>
      </w:pPr>
    </w:p>
    <w:p w:rsidR="00B51CA3" w:rsidRDefault="00B51CA3" w:rsidP="00491580">
      <w:pPr>
        <w:pStyle w:val="BodyText"/>
        <w:tabs>
          <w:tab w:val="left" w:pos="360"/>
          <w:tab w:val="left" w:pos="540"/>
          <w:tab w:val="left" w:pos="630"/>
          <w:tab w:val="left" w:pos="900"/>
          <w:tab w:val="left" w:pos="1080"/>
        </w:tabs>
        <w:ind w:left="720" w:right="-450" w:hanging="1800"/>
        <w:rPr>
          <w:sz w:val="20"/>
        </w:rPr>
      </w:pPr>
    </w:p>
    <w:p w:rsidR="00B51CA3" w:rsidRDefault="00B51CA3" w:rsidP="00491580">
      <w:pPr>
        <w:pStyle w:val="BodyText"/>
        <w:tabs>
          <w:tab w:val="left" w:pos="360"/>
          <w:tab w:val="left" w:pos="540"/>
          <w:tab w:val="left" w:pos="630"/>
          <w:tab w:val="left" w:pos="900"/>
          <w:tab w:val="left" w:pos="1080"/>
        </w:tabs>
        <w:ind w:left="720" w:right="-450" w:hanging="1800"/>
        <w:rPr>
          <w:sz w:val="20"/>
        </w:rPr>
      </w:pPr>
    </w:p>
    <w:p w:rsidR="002200E9" w:rsidRDefault="002200E9" w:rsidP="00491580">
      <w:pPr>
        <w:pStyle w:val="BodyText"/>
        <w:tabs>
          <w:tab w:val="left" w:pos="360"/>
          <w:tab w:val="left" w:pos="540"/>
          <w:tab w:val="left" w:pos="630"/>
          <w:tab w:val="left" w:pos="900"/>
          <w:tab w:val="left" w:pos="1080"/>
        </w:tabs>
        <w:ind w:left="720" w:right="-450" w:hanging="1800"/>
        <w:rPr>
          <w:sz w:val="20"/>
        </w:rPr>
      </w:pPr>
    </w:p>
    <w:p w:rsidR="0059386B" w:rsidRDefault="002425A2" w:rsidP="001D37F3">
      <w:pPr>
        <w:pStyle w:val="BodyText"/>
        <w:tabs>
          <w:tab w:val="left" w:pos="360"/>
          <w:tab w:val="left" w:pos="540"/>
          <w:tab w:val="left" w:pos="630"/>
          <w:tab w:val="left" w:pos="900"/>
          <w:tab w:val="left" w:pos="1080"/>
        </w:tabs>
        <w:ind w:left="720" w:right="-450" w:hanging="720"/>
        <w:rPr>
          <w:b/>
          <w:sz w:val="20"/>
        </w:rPr>
      </w:pPr>
      <w:r w:rsidRPr="00764F09">
        <w:rPr>
          <w:b/>
          <w:sz w:val="20"/>
        </w:rPr>
        <w:t>B</w:t>
      </w:r>
      <w:r w:rsidR="0059386B" w:rsidRPr="00764F09">
        <w:rPr>
          <w:b/>
          <w:sz w:val="20"/>
        </w:rPr>
        <w:t>11</w:t>
      </w:r>
      <w:r w:rsidR="0059386B" w:rsidRPr="004A4FB2">
        <w:rPr>
          <w:sz w:val="20"/>
        </w:rPr>
        <w:tab/>
      </w:r>
      <w:r w:rsidR="0059386B" w:rsidRPr="004A4FB2">
        <w:rPr>
          <w:sz w:val="20"/>
        </w:rPr>
        <w:tab/>
      </w:r>
      <w:r w:rsidR="0059386B" w:rsidRPr="004A4FB2">
        <w:rPr>
          <w:sz w:val="20"/>
        </w:rPr>
        <w:tab/>
      </w:r>
      <w:r w:rsidR="0059386B" w:rsidRPr="001F31CA">
        <w:rPr>
          <w:b/>
          <w:sz w:val="20"/>
        </w:rPr>
        <w:t>Material litigation</w:t>
      </w:r>
    </w:p>
    <w:p w:rsidR="0059386B" w:rsidRDefault="0059386B" w:rsidP="00491580">
      <w:pPr>
        <w:pStyle w:val="BodyText"/>
        <w:tabs>
          <w:tab w:val="left" w:pos="360"/>
          <w:tab w:val="left" w:pos="540"/>
          <w:tab w:val="left" w:pos="630"/>
          <w:tab w:val="left" w:pos="900"/>
          <w:tab w:val="left" w:pos="1080"/>
        </w:tabs>
        <w:ind w:left="720" w:right="-450" w:hanging="1800"/>
        <w:rPr>
          <w:sz w:val="20"/>
        </w:rPr>
      </w:pPr>
    </w:p>
    <w:p w:rsidR="00876785" w:rsidRDefault="001D37F3" w:rsidP="00876785">
      <w:pPr>
        <w:pStyle w:val="BodyText"/>
        <w:tabs>
          <w:tab w:val="left" w:pos="360"/>
          <w:tab w:val="left" w:pos="540"/>
          <w:tab w:val="left" w:pos="630"/>
          <w:tab w:val="left" w:pos="1080"/>
        </w:tabs>
        <w:ind w:left="720" w:right="-90" w:hanging="1800"/>
        <w:rPr>
          <w:sz w:val="20"/>
        </w:rPr>
      </w:pPr>
      <w:r>
        <w:rPr>
          <w:sz w:val="20"/>
        </w:rPr>
        <w:tab/>
      </w:r>
      <w:r>
        <w:rPr>
          <w:sz w:val="20"/>
        </w:rPr>
        <w:tab/>
      </w:r>
      <w:r>
        <w:rPr>
          <w:sz w:val="20"/>
        </w:rPr>
        <w:tab/>
      </w:r>
      <w:r w:rsidR="00876785">
        <w:rPr>
          <w:sz w:val="20"/>
        </w:rPr>
        <w:t>The material litigation as at the date of this announcement are as follows:-</w:t>
      </w:r>
    </w:p>
    <w:p w:rsidR="004D331A" w:rsidRDefault="004D331A" w:rsidP="00876785">
      <w:pPr>
        <w:pStyle w:val="BodyText"/>
        <w:tabs>
          <w:tab w:val="left" w:pos="360"/>
          <w:tab w:val="left" w:pos="540"/>
          <w:tab w:val="left" w:pos="630"/>
          <w:tab w:val="left" w:pos="1080"/>
        </w:tabs>
        <w:ind w:left="720" w:right="-90" w:hanging="1800"/>
        <w:rPr>
          <w:sz w:val="20"/>
        </w:rPr>
      </w:pPr>
    </w:p>
    <w:p w:rsidR="004D331A" w:rsidRPr="00F22956" w:rsidRDefault="004D331A" w:rsidP="00C11A7F">
      <w:pPr>
        <w:pStyle w:val="ListParagraph"/>
        <w:numPr>
          <w:ilvl w:val="0"/>
          <w:numId w:val="5"/>
        </w:numPr>
        <w:spacing w:after="200" w:line="276" w:lineRule="auto"/>
        <w:ind w:left="720" w:hanging="360"/>
        <w:contextualSpacing/>
        <w:jc w:val="both"/>
        <w:rPr>
          <w:b/>
        </w:rPr>
      </w:pPr>
      <w:r w:rsidRPr="00F22956">
        <w:rPr>
          <w:b/>
        </w:rPr>
        <w:t xml:space="preserve">MBF Cards (M’sia) </w:t>
      </w:r>
      <w:proofErr w:type="spellStart"/>
      <w:r w:rsidRPr="00F22956">
        <w:rPr>
          <w:b/>
        </w:rPr>
        <w:t>Sdn</w:t>
      </w:r>
      <w:proofErr w:type="spellEnd"/>
      <w:r w:rsidRPr="00F22956">
        <w:rPr>
          <w:b/>
        </w:rPr>
        <w:t xml:space="preserve">. Bhd. (“MBF Cards”) Vs </w:t>
      </w:r>
      <w:proofErr w:type="spellStart"/>
      <w:r w:rsidRPr="00F22956">
        <w:rPr>
          <w:b/>
        </w:rPr>
        <w:t>GrandTech</w:t>
      </w:r>
      <w:proofErr w:type="spellEnd"/>
      <w:r w:rsidRPr="00F22956">
        <w:rPr>
          <w:b/>
        </w:rPr>
        <w:t xml:space="preserve"> Systems </w:t>
      </w:r>
      <w:proofErr w:type="spellStart"/>
      <w:r w:rsidRPr="00F22956">
        <w:rPr>
          <w:b/>
        </w:rPr>
        <w:t>Sdn</w:t>
      </w:r>
      <w:proofErr w:type="spellEnd"/>
      <w:r w:rsidRPr="00F22956">
        <w:rPr>
          <w:b/>
        </w:rPr>
        <w:t>. Bhd. (“</w:t>
      </w:r>
      <w:proofErr w:type="spellStart"/>
      <w:r w:rsidRPr="00F22956">
        <w:rPr>
          <w:b/>
        </w:rPr>
        <w:t>GrandTech</w:t>
      </w:r>
      <w:proofErr w:type="spellEnd"/>
      <w:r w:rsidRPr="00F22956">
        <w:rPr>
          <w:b/>
        </w:rPr>
        <w:t xml:space="preserve">”) (“MBF Cards Action”) and </w:t>
      </w:r>
      <w:proofErr w:type="spellStart"/>
      <w:r w:rsidRPr="00F22956">
        <w:rPr>
          <w:b/>
        </w:rPr>
        <w:t>GrandTech</w:t>
      </w:r>
      <w:proofErr w:type="spellEnd"/>
      <w:r w:rsidRPr="00F22956">
        <w:rPr>
          <w:b/>
        </w:rPr>
        <w:t xml:space="preserve"> Vs MBF Cards (“</w:t>
      </w:r>
      <w:proofErr w:type="spellStart"/>
      <w:r w:rsidRPr="00F22956">
        <w:rPr>
          <w:b/>
        </w:rPr>
        <w:t>GrandTech</w:t>
      </w:r>
      <w:proofErr w:type="spellEnd"/>
      <w:r w:rsidRPr="00F22956">
        <w:rPr>
          <w:b/>
        </w:rPr>
        <w:t xml:space="preserve"> Action”)</w:t>
      </w:r>
    </w:p>
    <w:p w:rsidR="004D331A" w:rsidRDefault="004D331A" w:rsidP="004D331A">
      <w:pPr>
        <w:ind w:left="720"/>
        <w:jc w:val="both"/>
      </w:pPr>
      <w:r w:rsidRPr="00920F98">
        <w:t xml:space="preserve">The MBF Cards Action is for rescission, assessment of value of the goods supplied by </w:t>
      </w:r>
      <w:proofErr w:type="spellStart"/>
      <w:r w:rsidRPr="00920F98">
        <w:t>GrandTech</w:t>
      </w:r>
      <w:proofErr w:type="spellEnd"/>
      <w:r w:rsidRPr="00920F98">
        <w:t xml:space="preserve"> for a credit card campaign and damages for misrepresentation, attrition and loss of customers.</w:t>
      </w:r>
    </w:p>
    <w:p w:rsidR="004D331A" w:rsidRPr="00920F98" w:rsidRDefault="004D331A" w:rsidP="004D331A">
      <w:pPr>
        <w:ind w:left="720"/>
        <w:jc w:val="both"/>
      </w:pPr>
    </w:p>
    <w:p w:rsidR="004D331A" w:rsidRDefault="004D331A" w:rsidP="004D331A">
      <w:pPr>
        <w:ind w:left="720"/>
        <w:jc w:val="both"/>
      </w:pPr>
      <w:r w:rsidRPr="00920F98">
        <w:t xml:space="preserve">The subsequent </w:t>
      </w:r>
      <w:proofErr w:type="spellStart"/>
      <w:r w:rsidRPr="00920F98">
        <w:t>GrandTech</w:t>
      </w:r>
      <w:proofErr w:type="spellEnd"/>
      <w:r w:rsidRPr="00920F98">
        <w:t xml:space="preserve"> Action for approximately RM6.4 million was filed for the goods delivered, anticipated profit from the remaining undelivered goods and related expenses.</w:t>
      </w:r>
    </w:p>
    <w:p w:rsidR="004D331A" w:rsidRPr="00920F98" w:rsidRDefault="004D331A" w:rsidP="004D331A">
      <w:pPr>
        <w:ind w:left="720"/>
        <w:jc w:val="both"/>
      </w:pPr>
    </w:p>
    <w:p w:rsidR="004D331A" w:rsidRDefault="004D331A" w:rsidP="004D331A">
      <w:pPr>
        <w:ind w:left="720"/>
        <w:jc w:val="both"/>
      </w:pPr>
      <w:proofErr w:type="spellStart"/>
      <w:r w:rsidRPr="00920F98">
        <w:t>GrandTech</w:t>
      </w:r>
      <w:proofErr w:type="spellEnd"/>
      <w:r w:rsidRPr="00920F98">
        <w:t xml:space="preserve"> had filed an application for summary relief and interim payment for about RM4.0 million which application was dismissed. Its appeal to the Court of Appeal against the said order was</w:t>
      </w:r>
      <w:r w:rsidR="00F22956">
        <w:t xml:space="preserve"> subsequently</w:t>
      </w:r>
      <w:r w:rsidRPr="00920F98">
        <w:t xml:space="preserve"> withdrawn.</w:t>
      </w:r>
    </w:p>
    <w:p w:rsidR="004D331A" w:rsidRPr="00920F98" w:rsidRDefault="004D331A" w:rsidP="004D331A">
      <w:pPr>
        <w:ind w:left="720"/>
        <w:jc w:val="both"/>
      </w:pPr>
    </w:p>
    <w:p w:rsidR="004D331A" w:rsidRDefault="004D331A" w:rsidP="004D331A">
      <w:pPr>
        <w:ind w:left="720"/>
        <w:jc w:val="both"/>
      </w:pPr>
      <w:r w:rsidRPr="00920F98">
        <w:t>Both the actions have been consolidated. The full trial of the consolidated matters scheduled for 26 and 27 March 2012 was postponed</w:t>
      </w:r>
      <w:r w:rsidR="00325A74">
        <w:t xml:space="preserve"> and the p</w:t>
      </w:r>
      <w:r w:rsidRPr="00920F98">
        <w:t>arties now await trial dates before a new judge.</w:t>
      </w:r>
    </w:p>
    <w:p w:rsidR="00E44530" w:rsidRPr="00F22956" w:rsidRDefault="00E44530" w:rsidP="004D331A">
      <w:pPr>
        <w:ind w:left="720"/>
        <w:jc w:val="both"/>
        <w:rPr>
          <w:b/>
        </w:rPr>
      </w:pPr>
    </w:p>
    <w:p w:rsidR="004D331A" w:rsidRPr="00F22956" w:rsidRDefault="004D331A" w:rsidP="00C11A7F">
      <w:pPr>
        <w:pStyle w:val="ListParagraph"/>
        <w:numPr>
          <w:ilvl w:val="0"/>
          <w:numId w:val="5"/>
        </w:numPr>
        <w:spacing w:after="200" w:line="276" w:lineRule="auto"/>
        <w:ind w:left="720" w:hanging="360"/>
        <w:contextualSpacing/>
        <w:jc w:val="both"/>
        <w:rPr>
          <w:b/>
        </w:rPr>
      </w:pPr>
      <w:r w:rsidRPr="00F22956">
        <w:rPr>
          <w:b/>
        </w:rPr>
        <w:t xml:space="preserve">MBf Holdings </w:t>
      </w:r>
      <w:proofErr w:type="spellStart"/>
      <w:r w:rsidRPr="00F22956">
        <w:rPr>
          <w:b/>
        </w:rPr>
        <w:t>Bhd</w:t>
      </w:r>
      <w:proofErr w:type="spellEnd"/>
      <w:r w:rsidRPr="00F22956">
        <w:rPr>
          <w:b/>
        </w:rPr>
        <w:t xml:space="preserve"> &amp; MBf Finance </w:t>
      </w:r>
      <w:proofErr w:type="spellStart"/>
      <w:r w:rsidRPr="00F22956">
        <w:rPr>
          <w:b/>
        </w:rPr>
        <w:t>Berhad</w:t>
      </w:r>
      <w:proofErr w:type="spellEnd"/>
      <w:r w:rsidRPr="00F22956">
        <w:rPr>
          <w:b/>
        </w:rPr>
        <w:t xml:space="preserve"> (now </w:t>
      </w:r>
      <w:proofErr w:type="spellStart"/>
      <w:r w:rsidRPr="00F22956">
        <w:rPr>
          <w:b/>
        </w:rPr>
        <w:t>AmBank</w:t>
      </w:r>
      <w:proofErr w:type="spellEnd"/>
      <w:r w:rsidRPr="00F22956">
        <w:rPr>
          <w:b/>
        </w:rPr>
        <w:t xml:space="preserve"> (M) </w:t>
      </w:r>
      <w:proofErr w:type="spellStart"/>
      <w:r w:rsidRPr="00F22956">
        <w:rPr>
          <w:b/>
        </w:rPr>
        <w:t>Berhad</w:t>
      </w:r>
      <w:proofErr w:type="spellEnd"/>
      <w:r w:rsidRPr="00F22956">
        <w:rPr>
          <w:b/>
        </w:rPr>
        <w:t xml:space="preserve">) (collectively called the “Plaintiffs”) Vs Wee Choo </w:t>
      </w:r>
      <w:proofErr w:type="spellStart"/>
      <w:r w:rsidRPr="00F22956">
        <w:rPr>
          <w:b/>
        </w:rPr>
        <w:t>Keong</w:t>
      </w:r>
      <w:proofErr w:type="spellEnd"/>
      <w:r w:rsidRPr="00F22956">
        <w:rPr>
          <w:b/>
        </w:rPr>
        <w:t xml:space="preserve">, </w:t>
      </w:r>
      <w:proofErr w:type="spellStart"/>
      <w:r w:rsidRPr="00F22956">
        <w:rPr>
          <w:b/>
        </w:rPr>
        <w:t>Loi</w:t>
      </w:r>
      <w:proofErr w:type="spellEnd"/>
      <w:r w:rsidRPr="00F22956">
        <w:rPr>
          <w:b/>
        </w:rPr>
        <w:t xml:space="preserve"> </w:t>
      </w:r>
      <w:proofErr w:type="spellStart"/>
      <w:r w:rsidRPr="00F22956">
        <w:rPr>
          <w:b/>
        </w:rPr>
        <w:t>Hean</w:t>
      </w:r>
      <w:proofErr w:type="spellEnd"/>
      <w:r w:rsidRPr="00F22956">
        <w:rPr>
          <w:b/>
        </w:rPr>
        <w:t xml:space="preserve"> </w:t>
      </w:r>
      <w:proofErr w:type="spellStart"/>
      <w:r w:rsidRPr="00F22956">
        <w:rPr>
          <w:b/>
        </w:rPr>
        <w:t>Sso</w:t>
      </w:r>
      <w:proofErr w:type="spellEnd"/>
      <w:r w:rsidRPr="00F22956">
        <w:rPr>
          <w:b/>
        </w:rPr>
        <w:t xml:space="preserve"> and </w:t>
      </w:r>
      <w:proofErr w:type="spellStart"/>
      <w:r w:rsidRPr="00F22956">
        <w:rPr>
          <w:b/>
        </w:rPr>
        <w:t>Houng</w:t>
      </w:r>
      <w:proofErr w:type="spellEnd"/>
      <w:r w:rsidRPr="00F22956">
        <w:rPr>
          <w:b/>
        </w:rPr>
        <w:t xml:space="preserve"> </w:t>
      </w:r>
      <w:proofErr w:type="spellStart"/>
      <w:r w:rsidRPr="00F22956">
        <w:rPr>
          <w:b/>
        </w:rPr>
        <w:t>Hai</w:t>
      </w:r>
      <w:proofErr w:type="spellEnd"/>
      <w:r w:rsidRPr="00F22956">
        <w:rPr>
          <w:b/>
        </w:rPr>
        <w:t xml:space="preserve"> Kong (collectively called the “Defendants”)</w:t>
      </w:r>
    </w:p>
    <w:p w:rsidR="004D331A" w:rsidRDefault="004D331A" w:rsidP="004D331A">
      <w:pPr>
        <w:ind w:left="720"/>
        <w:jc w:val="both"/>
      </w:pPr>
      <w:r w:rsidRPr="00920F98">
        <w:t>The Plaintiffs had on 9 February 1993 obtained an ex-parte injunction to restrain the Defendants from printing, circulating, distributing or publishing in any manner any allegations of impropriety or irregularity or illegality of whatever nature against the Plaintiffs or any of their respective subsidiaries or affiliates.</w:t>
      </w:r>
    </w:p>
    <w:p w:rsidR="004D331A" w:rsidRPr="00920F98" w:rsidRDefault="004D331A" w:rsidP="004D331A">
      <w:pPr>
        <w:ind w:left="720"/>
        <w:jc w:val="both"/>
      </w:pPr>
    </w:p>
    <w:p w:rsidR="004D331A" w:rsidRDefault="004D331A" w:rsidP="004D331A">
      <w:pPr>
        <w:ind w:left="720"/>
        <w:jc w:val="both"/>
      </w:pPr>
      <w:r w:rsidRPr="00920F98">
        <w:t xml:space="preserve">In 1996, Wee Choo </w:t>
      </w:r>
      <w:proofErr w:type="spellStart"/>
      <w:r w:rsidRPr="00920F98">
        <w:t>Keong’s</w:t>
      </w:r>
      <w:proofErr w:type="spellEnd"/>
      <w:r w:rsidRPr="00920F98">
        <w:t xml:space="preserve"> and </w:t>
      </w:r>
      <w:proofErr w:type="spellStart"/>
      <w:r w:rsidRPr="00920F98">
        <w:t>Houng</w:t>
      </w:r>
      <w:proofErr w:type="spellEnd"/>
      <w:r w:rsidRPr="00920F98">
        <w:t xml:space="preserve"> </w:t>
      </w:r>
      <w:proofErr w:type="spellStart"/>
      <w:r w:rsidRPr="00920F98">
        <w:t>Hai</w:t>
      </w:r>
      <w:proofErr w:type="spellEnd"/>
      <w:r w:rsidRPr="00920F98">
        <w:t xml:space="preserve"> Kong’s application to set aside the ex-parte injunction was refused by the High Court. However their appeal against the order was allowed by the Court of Appeal in April 2007.</w:t>
      </w:r>
    </w:p>
    <w:p w:rsidR="004D331A" w:rsidRPr="00920F98" w:rsidRDefault="004D331A" w:rsidP="004D331A">
      <w:pPr>
        <w:ind w:left="720"/>
        <w:jc w:val="both"/>
      </w:pPr>
    </w:p>
    <w:p w:rsidR="009242B5" w:rsidRDefault="004D331A" w:rsidP="004D331A">
      <w:pPr>
        <w:ind w:left="720"/>
        <w:jc w:val="both"/>
      </w:pPr>
      <w:r w:rsidRPr="00920F98">
        <w:t xml:space="preserve">The Defendants obtained an order to assess damages based on the Plaintiffs’ undertaking given when the ex-parte injunction was granted. Pursuant thereto, Wee Choo </w:t>
      </w:r>
      <w:proofErr w:type="spellStart"/>
      <w:r w:rsidRPr="00920F98">
        <w:t>Keong</w:t>
      </w:r>
      <w:proofErr w:type="spellEnd"/>
      <w:r w:rsidRPr="00920F98">
        <w:t xml:space="preserve"> filed an application for assessment of damages for approximately RM40 million </w:t>
      </w:r>
      <w:r w:rsidR="003310C8">
        <w:t>is</w:t>
      </w:r>
      <w:r w:rsidRPr="00920F98">
        <w:t xml:space="preserve"> </w:t>
      </w:r>
      <w:r w:rsidR="00F22956">
        <w:t>now</w:t>
      </w:r>
      <w:r w:rsidR="009242B5">
        <w:t xml:space="preserve"> fixed for </w:t>
      </w:r>
      <w:r w:rsidR="003310C8">
        <w:t xml:space="preserve">further </w:t>
      </w:r>
      <w:r w:rsidR="009242B5">
        <w:t xml:space="preserve">continued hearing on </w:t>
      </w:r>
      <w:r w:rsidR="003310C8">
        <w:t>20 September</w:t>
      </w:r>
      <w:r w:rsidR="009242B5">
        <w:t xml:space="preserve"> 2012.</w:t>
      </w:r>
    </w:p>
    <w:p w:rsidR="009242B5" w:rsidRPr="00920F98" w:rsidRDefault="009242B5" w:rsidP="004D331A">
      <w:pPr>
        <w:ind w:left="720"/>
        <w:jc w:val="both"/>
      </w:pPr>
    </w:p>
    <w:p w:rsidR="004D331A" w:rsidRDefault="004D331A" w:rsidP="004D331A">
      <w:pPr>
        <w:ind w:left="720"/>
        <w:jc w:val="both"/>
      </w:pPr>
      <w:proofErr w:type="spellStart"/>
      <w:r w:rsidRPr="009242B5">
        <w:t>Houng</w:t>
      </w:r>
      <w:proofErr w:type="spellEnd"/>
      <w:r w:rsidRPr="009242B5">
        <w:t xml:space="preserve"> </w:t>
      </w:r>
      <w:proofErr w:type="spellStart"/>
      <w:r w:rsidRPr="009242B5">
        <w:t>Hai</w:t>
      </w:r>
      <w:proofErr w:type="spellEnd"/>
      <w:r w:rsidRPr="009242B5">
        <w:t xml:space="preserve"> Kong's application for assessment of damages fixed for hearing on 10</w:t>
      </w:r>
      <w:r w:rsidR="006117EC" w:rsidRPr="009242B5">
        <w:t xml:space="preserve"> </w:t>
      </w:r>
      <w:r w:rsidR="009242B5" w:rsidRPr="009242B5">
        <w:t>July 2012 was vacated and rescheduled to 20 September 2012.</w:t>
      </w:r>
    </w:p>
    <w:p w:rsidR="004D331A" w:rsidRPr="00920F98" w:rsidRDefault="004D331A" w:rsidP="004D331A">
      <w:pPr>
        <w:ind w:left="720"/>
        <w:jc w:val="both"/>
      </w:pPr>
    </w:p>
    <w:p w:rsidR="004D331A" w:rsidRDefault="004D331A" w:rsidP="004D331A">
      <w:pPr>
        <w:ind w:left="720"/>
        <w:jc w:val="both"/>
      </w:pPr>
      <w:r w:rsidRPr="00920F98">
        <w:t xml:space="preserve">It is not possible to ascertain the quantum of damages payable by the Plaintiffs to Wee Choo </w:t>
      </w:r>
      <w:proofErr w:type="spellStart"/>
      <w:r w:rsidRPr="00920F98">
        <w:t>Keong</w:t>
      </w:r>
      <w:proofErr w:type="spellEnd"/>
      <w:r w:rsidRPr="00920F98">
        <w:t xml:space="preserve"> at this juncture and the Board is of the view that the Company’s liability, if any, is not material and accordingly the Company had not provided for it in its book.</w:t>
      </w:r>
    </w:p>
    <w:p w:rsidR="004D331A" w:rsidRPr="00920F98" w:rsidRDefault="004D331A" w:rsidP="004D331A">
      <w:pPr>
        <w:ind w:left="1080"/>
        <w:jc w:val="both"/>
      </w:pPr>
    </w:p>
    <w:p w:rsidR="004D331A" w:rsidRPr="00920F98" w:rsidRDefault="004D331A" w:rsidP="00C11A7F">
      <w:pPr>
        <w:pStyle w:val="ListParagraph"/>
        <w:numPr>
          <w:ilvl w:val="0"/>
          <w:numId w:val="5"/>
        </w:numPr>
        <w:spacing w:after="200" w:line="276" w:lineRule="auto"/>
        <w:ind w:left="720" w:hanging="360"/>
        <w:contextualSpacing/>
        <w:jc w:val="both"/>
      </w:pPr>
      <w:r w:rsidRPr="00920F98">
        <w:t xml:space="preserve">MBf Holdings </w:t>
      </w:r>
      <w:proofErr w:type="spellStart"/>
      <w:r w:rsidRPr="00920F98">
        <w:t>Berhad</w:t>
      </w:r>
      <w:proofErr w:type="spellEnd"/>
      <w:r w:rsidRPr="00920F98">
        <w:t xml:space="preserve"> (“</w:t>
      </w:r>
      <w:proofErr w:type="spellStart"/>
      <w:r w:rsidRPr="00920F98">
        <w:t>MBfH</w:t>
      </w:r>
      <w:proofErr w:type="spellEnd"/>
      <w:r w:rsidRPr="00920F98">
        <w:t>”) &amp; MBf E</w:t>
      </w:r>
      <w:r w:rsidR="00F22956">
        <w:t xml:space="preserve">ducation Group </w:t>
      </w:r>
      <w:proofErr w:type="spellStart"/>
      <w:r w:rsidR="00F22956">
        <w:t>Sdn</w:t>
      </w:r>
      <w:proofErr w:type="spellEnd"/>
      <w:r w:rsidR="00F22956">
        <w:t xml:space="preserve"> </w:t>
      </w:r>
      <w:proofErr w:type="spellStart"/>
      <w:r w:rsidR="00F22956">
        <w:t>Bhd</w:t>
      </w:r>
      <w:proofErr w:type="spellEnd"/>
      <w:r w:rsidR="00F22956">
        <w:t xml:space="preserve"> (“MEG”) (</w:t>
      </w:r>
      <w:r w:rsidRPr="00920F98">
        <w:t>collectively called “the Plaintiffs”</w:t>
      </w:r>
      <w:r w:rsidR="00F22956">
        <w:t>)</w:t>
      </w:r>
      <w:r w:rsidRPr="00920F98">
        <w:t xml:space="preserve"> Vs </w:t>
      </w:r>
      <w:proofErr w:type="spellStart"/>
      <w:r w:rsidRPr="00920F98">
        <w:t>Dato</w:t>
      </w:r>
      <w:proofErr w:type="spellEnd"/>
      <w:r w:rsidRPr="00920F98">
        <w:t xml:space="preserve">' Loy </w:t>
      </w:r>
      <w:proofErr w:type="spellStart"/>
      <w:r w:rsidRPr="00920F98">
        <w:t>Teik</w:t>
      </w:r>
      <w:proofErr w:type="spellEnd"/>
      <w:r w:rsidRPr="00920F98">
        <w:t xml:space="preserve"> </w:t>
      </w:r>
      <w:proofErr w:type="spellStart"/>
      <w:r w:rsidRPr="00920F98">
        <w:t>Ngan</w:t>
      </w:r>
      <w:proofErr w:type="spellEnd"/>
      <w:r w:rsidRPr="00920F98">
        <w:t xml:space="preserve">, </w:t>
      </w:r>
      <w:proofErr w:type="spellStart"/>
      <w:r w:rsidRPr="00920F98">
        <w:t>Datin</w:t>
      </w:r>
      <w:proofErr w:type="spellEnd"/>
      <w:r w:rsidRPr="00920F98">
        <w:t xml:space="preserve"> Chong </w:t>
      </w:r>
      <w:proofErr w:type="spellStart"/>
      <w:r w:rsidRPr="00920F98">
        <w:t>Kwei</w:t>
      </w:r>
      <w:proofErr w:type="spellEnd"/>
      <w:r w:rsidRPr="00920F98">
        <w:t xml:space="preserve"> </w:t>
      </w:r>
      <w:proofErr w:type="spellStart"/>
      <w:r w:rsidRPr="00920F98">
        <w:t>Kee</w:t>
      </w:r>
      <w:proofErr w:type="spellEnd"/>
      <w:r w:rsidRPr="00920F98">
        <w:t xml:space="preserve">, </w:t>
      </w:r>
      <w:proofErr w:type="spellStart"/>
      <w:r w:rsidRPr="00920F98">
        <w:t>Puan</w:t>
      </w:r>
      <w:proofErr w:type="spellEnd"/>
      <w:r w:rsidRPr="00920F98">
        <w:t xml:space="preserve"> Sri </w:t>
      </w:r>
      <w:proofErr w:type="spellStart"/>
      <w:r w:rsidRPr="00920F98">
        <w:t>Datin</w:t>
      </w:r>
      <w:proofErr w:type="spellEnd"/>
      <w:r w:rsidRPr="00920F98">
        <w:t xml:space="preserve"> Ling </w:t>
      </w:r>
      <w:proofErr w:type="spellStart"/>
      <w:r w:rsidRPr="00920F98">
        <w:t>Mah</w:t>
      </w:r>
      <w:proofErr w:type="spellEnd"/>
      <w:r w:rsidRPr="00920F98">
        <w:t xml:space="preserve"> Lee, Tan Sri </w:t>
      </w:r>
      <w:proofErr w:type="spellStart"/>
      <w:r w:rsidRPr="00920F98">
        <w:t>Dato</w:t>
      </w:r>
      <w:proofErr w:type="spellEnd"/>
      <w:r w:rsidRPr="00920F98">
        <w:t xml:space="preserve">' Lim Cheng </w:t>
      </w:r>
      <w:proofErr w:type="spellStart"/>
      <w:r w:rsidRPr="00920F98">
        <w:t>Pow</w:t>
      </w:r>
      <w:proofErr w:type="spellEnd"/>
      <w:r w:rsidRPr="00920F98">
        <w:t xml:space="preserve">, Taylor’s Education </w:t>
      </w:r>
      <w:proofErr w:type="spellStart"/>
      <w:r w:rsidRPr="00920F98">
        <w:t>Bhd</w:t>
      </w:r>
      <w:proofErr w:type="spellEnd"/>
      <w:r w:rsidRPr="00920F98">
        <w:t xml:space="preserve">, Taylor’s College </w:t>
      </w:r>
      <w:proofErr w:type="spellStart"/>
      <w:r w:rsidRPr="00920F98">
        <w:t>Sdn</w:t>
      </w:r>
      <w:proofErr w:type="spellEnd"/>
      <w:r w:rsidRPr="00920F98">
        <w:t xml:space="preserve"> </w:t>
      </w:r>
      <w:proofErr w:type="spellStart"/>
      <w:r w:rsidRPr="00920F98">
        <w:t>Bhd</w:t>
      </w:r>
      <w:proofErr w:type="spellEnd"/>
      <w:r w:rsidRPr="00920F98">
        <w:t xml:space="preserve">, </w:t>
      </w:r>
      <w:proofErr w:type="spellStart"/>
      <w:r w:rsidRPr="00920F98">
        <w:t>Educrest</w:t>
      </w:r>
      <w:proofErr w:type="spellEnd"/>
      <w:r w:rsidRPr="00920F98">
        <w:t xml:space="preserve"> </w:t>
      </w:r>
      <w:proofErr w:type="spellStart"/>
      <w:r w:rsidRPr="00920F98">
        <w:t>Sdn</w:t>
      </w:r>
      <w:proofErr w:type="spellEnd"/>
      <w:r w:rsidRPr="00920F98">
        <w:t xml:space="preserve"> </w:t>
      </w:r>
      <w:proofErr w:type="spellStart"/>
      <w:r w:rsidRPr="00920F98">
        <w:t>Bhd</w:t>
      </w:r>
      <w:proofErr w:type="spellEnd"/>
      <w:r w:rsidRPr="00920F98">
        <w:t xml:space="preserve">, Lim </w:t>
      </w:r>
      <w:proofErr w:type="spellStart"/>
      <w:r w:rsidRPr="00920F98">
        <w:t>Tian</w:t>
      </w:r>
      <w:proofErr w:type="spellEnd"/>
      <w:r w:rsidRPr="00920F98">
        <w:t xml:space="preserve"> </w:t>
      </w:r>
      <w:proofErr w:type="spellStart"/>
      <w:r w:rsidRPr="00920F98">
        <w:t>Huat</w:t>
      </w:r>
      <w:proofErr w:type="spellEnd"/>
      <w:r w:rsidRPr="00920F98">
        <w:t xml:space="preserve"> &amp; Chew Cheng Leong </w:t>
      </w:r>
      <w:r w:rsidR="00F22956">
        <w:t>(</w:t>
      </w:r>
      <w:r w:rsidRPr="00920F98">
        <w:t>colle</w:t>
      </w:r>
      <w:r w:rsidR="00F22956">
        <w:t>ctively called “the Defendants”)</w:t>
      </w:r>
    </w:p>
    <w:p w:rsidR="004D331A" w:rsidRDefault="004D331A" w:rsidP="004D331A">
      <w:pPr>
        <w:ind w:left="720"/>
        <w:jc w:val="both"/>
      </w:pPr>
      <w:r w:rsidRPr="00920F98">
        <w:t xml:space="preserve">The claim is to recover the Plaintiffs’ assets which were disposed of by the directors of </w:t>
      </w:r>
      <w:proofErr w:type="spellStart"/>
      <w:r w:rsidRPr="00920F98">
        <w:t>MBfH</w:t>
      </w:r>
      <w:proofErr w:type="spellEnd"/>
      <w:r w:rsidRPr="00920F98">
        <w:t xml:space="preserve"> &amp; MEG at the material time. The assets in question are </w:t>
      </w:r>
      <w:proofErr w:type="spellStart"/>
      <w:r w:rsidRPr="00920F98">
        <w:t>MBfH’s</w:t>
      </w:r>
      <w:proofErr w:type="spellEnd"/>
      <w:r w:rsidRPr="00920F98">
        <w:t xml:space="preserve"> 66.67% equity i</w:t>
      </w:r>
      <w:r w:rsidR="00B51CA3">
        <w:t xml:space="preserve">nterest in MBf Taylors </w:t>
      </w:r>
      <w:proofErr w:type="spellStart"/>
      <w:r w:rsidR="00B51CA3">
        <w:t>Sdn</w:t>
      </w:r>
      <w:proofErr w:type="spellEnd"/>
      <w:r w:rsidR="00B51CA3">
        <w:t xml:space="preserve"> </w:t>
      </w:r>
      <w:proofErr w:type="spellStart"/>
      <w:r w:rsidR="00B51CA3">
        <w:t>Bhd</w:t>
      </w:r>
      <w:proofErr w:type="spellEnd"/>
      <w:r w:rsidR="00B51CA3">
        <w:t xml:space="preserve"> (</w:t>
      </w:r>
      <w:r w:rsidRPr="00920F98">
        <w:t>now know</w:t>
      </w:r>
      <w:r w:rsidR="00B51CA3">
        <w:t xml:space="preserve">n as Taylor’s Education </w:t>
      </w:r>
      <w:proofErr w:type="spellStart"/>
      <w:r w:rsidR="00B51CA3">
        <w:t>Sdn</w:t>
      </w:r>
      <w:proofErr w:type="spellEnd"/>
      <w:r w:rsidR="00B51CA3">
        <w:t xml:space="preserve"> </w:t>
      </w:r>
      <w:proofErr w:type="spellStart"/>
      <w:r w:rsidR="00B51CA3">
        <w:t>Bhd</w:t>
      </w:r>
      <w:proofErr w:type="spellEnd"/>
      <w:r w:rsidR="00B51CA3">
        <w:t>)</w:t>
      </w:r>
      <w:r w:rsidRPr="00920F98">
        <w:t xml:space="preserve"> &amp; a parcel of land in </w:t>
      </w:r>
      <w:proofErr w:type="spellStart"/>
      <w:r w:rsidRPr="00920F98">
        <w:t>Subang</w:t>
      </w:r>
      <w:proofErr w:type="spellEnd"/>
      <w:r w:rsidRPr="00920F98">
        <w:t xml:space="preserve"> on which Taylor’s College is constructed. These assets are presently registered under companies owned and/or controlled by the Loy Family.</w:t>
      </w:r>
    </w:p>
    <w:p w:rsidR="00254798" w:rsidRDefault="00254798" w:rsidP="00F22956">
      <w:pPr>
        <w:ind w:left="720"/>
        <w:jc w:val="both"/>
      </w:pPr>
    </w:p>
    <w:p w:rsidR="00F22956" w:rsidRDefault="00F22956" w:rsidP="00F22956">
      <w:pPr>
        <w:ind w:left="720"/>
        <w:jc w:val="both"/>
      </w:pPr>
      <w:r>
        <w:t xml:space="preserve">On 1 </w:t>
      </w:r>
      <w:r w:rsidRPr="00DE0C88">
        <w:t xml:space="preserve">June 2012, the Plaintiffs filed </w:t>
      </w:r>
      <w:r>
        <w:t>an</w:t>
      </w:r>
      <w:r w:rsidRPr="00DE0C88">
        <w:t xml:space="preserve"> application to amend the Writ and the Re-Amended Statement of Claim [“the Amendment Application”]</w:t>
      </w:r>
      <w:r>
        <w:t xml:space="preserve"> which was allowed by the Court at the </w:t>
      </w:r>
      <w:r w:rsidRPr="00DE0C88">
        <w:t xml:space="preserve">hearing on 25 June 2012. </w:t>
      </w:r>
      <w:r>
        <w:t>In</w:t>
      </w:r>
      <w:r w:rsidRPr="00DE0C88">
        <w:t xml:space="preserve"> the Amendment Application, the Plaintiffs </w:t>
      </w:r>
      <w:r>
        <w:t>sought</w:t>
      </w:r>
      <w:r w:rsidRPr="00DE0C88">
        <w:t xml:space="preserve"> leave to cite additional defendants, to plead their involvement in the subject matter of the Plaintiffs’ claim and to amend the reliefs claimed as n</w:t>
      </w:r>
      <w:r>
        <w:t>ecessitated by the inclusion of</w:t>
      </w:r>
      <w:r w:rsidRPr="00DE0C88">
        <w:t xml:space="preserve"> additional defendants </w:t>
      </w:r>
      <w:r>
        <w:t xml:space="preserve">whom </w:t>
      </w:r>
      <w:r w:rsidRPr="00DE0C88">
        <w:t xml:space="preserve">are Tan Sri </w:t>
      </w:r>
      <w:proofErr w:type="spellStart"/>
      <w:r w:rsidRPr="00DE0C88">
        <w:t>Dato</w:t>
      </w:r>
      <w:proofErr w:type="spellEnd"/>
      <w:r w:rsidRPr="00DE0C88">
        <w:t xml:space="preserve">’ </w:t>
      </w:r>
      <w:proofErr w:type="spellStart"/>
      <w:r w:rsidRPr="00DE0C88">
        <w:t>Mohd</w:t>
      </w:r>
      <w:proofErr w:type="spellEnd"/>
      <w:r w:rsidRPr="00DE0C88">
        <w:t xml:space="preserve"> Ibrahim Bin </w:t>
      </w:r>
      <w:proofErr w:type="spellStart"/>
      <w:r w:rsidRPr="00DE0C88">
        <w:t>Mohd</w:t>
      </w:r>
      <w:proofErr w:type="spellEnd"/>
      <w:r w:rsidRPr="00DE0C88">
        <w:t xml:space="preserve"> </w:t>
      </w:r>
      <w:proofErr w:type="spellStart"/>
      <w:r w:rsidRPr="00DE0C88">
        <w:t>Zain</w:t>
      </w:r>
      <w:proofErr w:type="spellEnd"/>
      <w:r w:rsidRPr="00DE0C88">
        <w:t xml:space="preserve">, </w:t>
      </w:r>
      <w:proofErr w:type="spellStart"/>
      <w:r w:rsidRPr="00DE0C88">
        <w:t>Shaikh</w:t>
      </w:r>
      <w:proofErr w:type="spellEnd"/>
      <w:r w:rsidRPr="00DE0C88">
        <w:t xml:space="preserve"> </w:t>
      </w:r>
      <w:proofErr w:type="spellStart"/>
      <w:r w:rsidRPr="00DE0C88">
        <w:t>Mohd</w:t>
      </w:r>
      <w:proofErr w:type="spellEnd"/>
      <w:r w:rsidRPr="00DE0C88">
        <w:t xml:space="preserve"> Bin </w:t>
      </w:r>
      <w:proofErr w:type="spellStart"/>
      <w:r w:rsidRPr="00DE0C88">
        <w:t>Mohd</w:t>
      </w:r>
      <w:proofErr w:type="spellEnd"/>
      <w:r w:rsidRPr="00DE0C88">
        <w:t xml:space="preserve"> </w:t>
      </w:r>
      <w:proofErr w:type="spellStart"/>
      <w:r w:rsidRPr="00DE0C88">
        <w:t>Zain</w:t>
      </w:r>
      <w:proofErr w:type="spellEnd"/>
      <w:r w:rsidRPr="00DE0C88">
        <w:t xml:space="preserve">, </w:t>
      </w:r>
      <w:proofErr w:type="spellStart"/>
      <w:r w:rsidRPr="00DE0C88">
        <w:t>Syed</w:t>
      </w:r>
      <w:proofErr w:type="spellEnd"/>
      <w:r w:rsidRPr="00DE0C88">
        <w:t xml:space="preserve"> Abdul </w:t>
      </w:r>
      <w:proofErr w:type="spellStart"/>
      <w:r w:rsidRPr="00DE0C88">
        <w:t>Rashad</w:t>
      </w:r>
      <w:proofErr w:type="spellEnd"/>
      <w:r w:rsidRPr="00DE0C88">
        <w:t xml:space="preserve"> Bin </w:t>
      </w:r>
      <w:proofErr w:type="spellStart"/>
      <w:r w:rsidRPr="00DE0C88">
        <w:t>Syed</w:t>
      </w:r>
      <w:proofErr w:type="spellEnd"/>
      <w:r w:rsidRPr="00DE0C88">
        <w:t xml:space="preserve"> Ali, Wonderful Sunrise </w:t>
      </w:r>
      <w:proofErr w:type="spellStart"/>
      <w:r w:rsidRPr="00DE0C88">
        <w:t>Sdn</w:t>
      </w:r>
      <w:proofErr w:type="spellEnd"/>
      <w:r w:rsidRPr="00DE0C88">
        <w:t xml:space="preserve"> </w:t>
      </w:r>
      <w:proofErr w:type="spellStart"/>
      <w:r w:rsidRPr="00DE0C88">
        <w:t>Bhd</w:t>
      </w:r>
      <w:proofErr w:type="spellEnd"/>
      <w:r w:rsidRPr="00DE0C88">
        <w:t xml:space="preserve"> and Total Binary </w:t>
      </w:r>
      <w:proofErr w:type="spellStart"/>
      <w:r w:rsidRPr="00DE0C88">
        <w:t>Sdn</w:t>
      </w:r>
      <w:proofErr w:type="spellEnd"/>
      <w:r w:rsidRPr="00DE0C88">
        <w:t xml:space="preserve"> Bhd.</w:t>
      </w:r>
      <w:r>
        <w:t xml:space="preserve">  </w:t>
      </w:r>
      <w:r w:rsidRPr="00DE0C88">
        <w:t>The matter is fixed for case management on 6 September 2012.</w:t>
      </w:r>
    </w:p>
    <w:p w:rsidR="00F22956" w:rsidRPr="00920F98" w:rsidRDefault="00F22956" w:rsidP="004D331A">
      <w:pPr>
        <w:ind w:left="720"/>
        <w:jc w:val="both"/>
      </w:pPr>
    </w:p>
    <w:p w:rsidR="004D331A" w:rsidRDefault="004D331A" w:rsidP="004D331A">
      <w:pPr>
        <w:ind w:left="720"/>
        <w:jc w:val="both"/>
      </w:pPr>
      <w:r w:rsidRPr="00920F98">
        <w:t xml:space="preserve">The 8th and 9th Defendants, Lim </w:t>
      </w:r>
      <w:proofErr w:type="spellStart"/>
      <w:r w:rsidRPr="00920F98">
        <w:t>Tian</w:t>
      </w:r>
      <w:proofErr w:type="spellEnd"/>
      <w:r w:rsidRPr="00920F98">
        <w:t xml:space="preserve"> </w:t>
      </w:r>
      <w:proofErr w:type="spellStart"/>
      <w:r w:rsidRPr="00920F98">
        <w:t>Huat's</w:t>
      </w:r>
      <w:proofErr w:type="spellEnd"/>
      <w:r w:rsidRPr="00920F98">
        <w:t xml:space="preserve"> and Chew Cheng Leong’s application to strike off the suit against themselves w</w:t>
      </w:r>
      <w:r w:rsidR="00326F10">
        <w:t>ere</w:t>
      </w:r>
      <w:r w:rsidRPr="00920F98">
        <w:t xml:space="preserve"> dismissed on 7 July 2011. Thereafter the matter was stayed by the Court of Appeal pending disposal of their </w:t>
      </w:r>
      <w:r w:rsidR="00F22956">
        <w:t>a</w:t>
      </w:r>
      <w:r w:rsidRPr="00920F98">
        <w:t>ppeal</w:t>
      </w:r>
      <w:r w:rsidR="00F22956">
        <w:t>s</w:t>
      </w:r>
      <w:r w:rsidRPr="00920F98">
        <w:t xml:space="preserve">. The said </w:t>
      </w:r>
      <w:r w:rsidR="00F22956">
        <w:t>a</w:t>
      </w:r>
      <w:r w:rsidRPr="00920F98">
        <w:t>ppeal</w:t>
      </w:r>
      <w:r w:rsidR="00F22956">
        <w:t>s</w:t>
      </w:r>
      <w:r w:rsidRPr="00920F98">
        <w:t xml:space="preserve"> w</w:t>
      </w:r>
      <w:r w:rsidR="00F22956">
        <w:t>ere</w:t>
      </w:r>
      <w:r w:rsidRPr="00920F98">
        <w:t xml:space="preserve"> heard on 15 February 2012 and dismissed by the Court of Appeal.</w:t>
      </w:r>
    </w:p>
    <w:p w:rsidR="004D331A" w:rsidRDefault="004D331A" w:rsidP="004D331A">
      <w:pPr>
        <w:ind w:left="720"/>
        <w:jc w:val="both"/>
      </w:pPr>
    </w:p>
    <w:p w:rsidR="00DE0C88" w:rsidRDefault="00DE0C88" w:rsidP="00DE0C88">
      <w:pPr>
        <w:ind w:left="720"/>
        <w:jc w:val="both"/>
      </w:pPr>
      <w:r w:rsidRPr="00DE0C88">
        <w:t>The matter is fixed for full trial from 5 to 9 November 2012, 3 to 7 December 2012 and 14 to 18 January 2013.</w:t>
      </w:r>
    </w:p>
    <w:p w:rsidR="00DE0C88" w:rsidRDefault="00DE0C88" w:rsidP="00DE0C88">
      <w:pPr>
        <w:ind w:left="720"/>
        <w:jc w:val="both"/>
      </w:pPr>
    </w:p>
    <w:p w:rsidR="004D331A" w:rsidRPr="00920F98" w:rsidRDefault="004D331A" w:rsidP="004D331A">
      <w:pPr>
        <w:ind w:left="720"/>
        <w:jc w:val="both"/>
      </w:pPr>
      <w:r w:rsidRPr="00920F98">
        <w:t>The Board believes that if the Plaintiffs succeed in their claim, it would have a positive impact on the Group’s financials.</w:t>
      </w:r>
    </w:p>
    <w:p w:rsidR="001F31CA" w:rsidRDefault="001F31CA" w:rsidP="002C01D9">
      <w:pPr>
        <w:pStyle w:val="BodyText"/>
        <w:ind w:left="1080" w:right="-180" w:hanging="1080"/>
      </w:pPr>
      <w:r>
        <w:tab/>
      </w:r>
    </w:p>
    <w:p w:rsidR="00E44530" w:rsidRDefault="00E44530" w:rsidP="002C01D9">
      <w:pPr>
        <w:pStyle w:val="BodyText"/>
        <w:ind w:left="1080" w:right="-180" w:hanging="1080"/>
      </w:pPr>
    </w:p>
    <w:p w:rsidR="0059386B" w:rsidRDefault="0059386B" w:rsidP="00B93910">
      <w:pPr>
        <w:pStyle w:val="BodyText"/>
        <w:tabs>
          <w:tab w:val="left" w:pos="360"/>
          <w:tab w:val="left" w:pos="540"/>
          <w:tab w:val="left" w:pos="630"/>
          <w:tab w:val="left" w:pos="1080"/>
        </w:tabs>
        <w:ind w:left="720" w:right="-450" w:hanging="720"/>
        <w:rPr>
          <w:b/>
          <w:sz w:val="20"/>
        </w:rPr>
      </w:pPr>
      <w:r w:rsidRPr="00764F09">
        <w:rPr>
          <w:b/>
          <w:sz w:val="20"/>
        </w:rPr>
        <w:t>B12</w:t>
      </w:r>
      <w:r>
        <w:rPr>
          <w:sz w:val="20"/>
        </w:rPr>
        <w:tab/>
      </w:r>
      <w:r>
        <w:rPr>
          <w:sz w:val="20"/>
        </w:rPr>
        <w:tab/>
      </w:r>
      <w:r>
        <w:rPr>
          <w:sz w:val="20"/>
        </w:rPr>
        <w:tab/>
      </w:r>
      <w:r>
        <w:rPr>
          <w:b/>
          <w:sz w:val="20"/>
        </w:rPr>
        <w:t>Dividend</w:t>
      </w:r>
    </w:p>
    <w:p w:rsidR="006E4315" w:rsidRDefault="0059386B" w:rsidP="00491580">
      <w:pPr>
        <w:pStyle w:val="BodyText"/>
        <w:tabs>
          <w:tab w:val="left" w:pos="360"/>
          <w:tab w:val="left" w:pos="540"/>
          <w:tab w:val="left" w:pos="630"/>
          <w:tab w:val="left" w:pos="1080"/>
        </w:tabs>
        <w:ind w:left="720" w:right="-450" w:hanging="1800"/>
        <w:rPr>
          <w:sz w:val="20"/>
        </w:rPr>
      </w:pPr>
      <w:r>
        <w:rPr>
          <w:sz w:val="20"/>
        </w:rPr>
        <w:tab/>
      </w:r>
    </w:p>
    <w:p w:rsidR="000A148D" w:rsidRDefault="00B93910" w:rsidP="008776EF">
      <w:pPr>
        <w:ind w:left="720" w:right="-90" w:hanging="1800"/>
        <w:jc w:val="both"/>
      </w:pPr>
      <w:r>
        <w:tab/>
      </w:r>
      <w:r w:rsidR="0003680D">
        <w:t xml:space="preserve">No dividend was declared during the </w:t>
      </w:r>
      <w:r w:rsidR="00964DC3">
        <w:t>quarter</w:t>
      </w:r>
      <w:r w:rsidR="0003680D">
        <w:t xml:space="preserve"> under review.</w:t>
      </w:r>
    </w:p>
    <w:p w:rsidR="0061411E" w:rsidRDefault="0061411E" w:rsidP="00491580">
      <w:pPr>
        <w:pStyle w:val="BodyText"/>
        <w:tabs>
          <w:tab w:val="left" w:pos="360"/>
          <w:tab w:val="left" w:pos="540"/>
          <w:tab w:val="left" w:pos="630"/>
          <w:tab w:val="left" w:pos="1080"/>
        </w:tabs>
        <w:ind w:left="720" w:right="-450" w:hanging="1800"/>
        <w:rPr>
          <w:sz w:val="20"/>
        </w:rPr>
      </w:pPr>
    </w:p>
    <w:p w:rsidR="004E47BA" w:rsidRDefault="004E47BA" w:rsidP="00491580">
      <w:pPr>
        <w:pStyle w:val="BodyText"/>
        <w:tabs>
          <w:tab w:val="left" w:pos="360"/>
          <w:tab w:val="left" w:pos="540"/>
          <w:tab w:val="left" w:pos="630"/>
          <w:tab w:val="left" w:pos="1080"/>
        </w:tabs>
        <w:ind w:left="720" w:right="-450" w:hanging="1800"/>
        <w:rPr>
          <w:sz w:val="20"/>
        </w:rPr>
      </w:pPr>
    </w:p>
    <w:p w:rsidR="0059386B" w:rsidRDefault="00286C47" w:rsidP="00B93910">
      <w:pPr>
        <w:pStyle w:val="BodyText"/>
        <w:tabs>
          <w:tab w:val="left" w:pos="360"/>
          <w:tab w:val="left" w:pos="540"/>
          <w:tab w:val="left" w:pos="630"/>
          <w:tab w:val="left" w:pos="1080"/>
        </w:tabs>
        <w:ind w:left="720" w:right="-450" w:hanging="720"/>
        <w:rPr>
          <w:b/>
          <w:sz w:val="20"/>
        </w:rPr>
      </w:pPr>
      <w:r w:rsidRPr="00764F09">
        <w:rPr>
          <w:b/>
          <w:sz w:val="20"/>
        </w:rPr>
        <w:t>B</w:t>
      </w:r>
      <w:r w:rsidR="0059386B" w:rsidRPr="00764F09">
        <w:rPr>
          <w:b/>
          <w:sz w:val="20"/>
        </w:rPr>
        <w:t>13</w:t>
      </w:r>
      <w:r w:rsidR="0059386B">
        <w:rPr>
          <w:sz w:val="20"/>
        </w:rPr>
        <w:tab/>
      </w:r>
      <w:r w:rsidR="0059386B">
        <w:rPr>
          <w:sz w:val="20"/>
        </w:rPr>
        <w:tab/>
      </w:r>
      <w:r w:rsidR="0059386B">
        <w:rPr>
          <w:sz w:val="20"/>
        </w:rPr>
        <w:tab/>
      </w:r>
      <w:r w:rsidR="0059386B">
        <w:rPr>
          <w:b/>
          <w:sz w:val="20"/>
        </w:rPr>
        <w:t>Earnings per share ("EPS")</w:t>
      </w:r>
    </w:p>
    <w:p w:rsidR="0059386B" w:rsidRDefault="0059386B" w:rsidP="00491580">
      <w:pPr>
        <w:pStyle w:val="BodyText"/>
        <w:tabs>
          <w:tab w:val="left" w:pos="360"/>
          <w:tab w:val="left" w:pos="540"/>
          <w:tab w:val="left" w:pos="630"/>
          <w:tab w:val="left" w:pos="1080"/>
        </w:tabs>
        <w:ind w:left="720" w:right="-450" w:hanging="1800"/>
        <w:rPr>
          <w:sz w:val="20"/>
        </w:rPr>
      </w:pPr>
    </w:p>
    <w:p w:rsidR="0059386B" w:rsidRDefault="0059386B" w:rsidP="00B93910">
      <w:pPr>
        <w:pStyle w:val="BodyText"/>
        <w:numPr>
          <w:ilvl w:val="0"/>
          <w:numId w:val="2"/>
        </w:numPr>
        <w:tabs>
          <w:tab w:val="left" w:pos="360"/>
          <w:tab w:val="left" w:pos="540"/>
          <w:tab w:val="left" w:pos="630"/>
        </w:tabs>
        <w:ind w:right="-450" w:hanging="450"/>
        <w:rPr>
          <w:b/>
          <w:sz w:val="20"/>
        </w:rPr>
      </w:pPr>
      <w:r>
        <w:rPr>
          <w:b/>
          <w:sz w:val="20"/>
        </w:rPr>
        <w:t>Basic</w:t>
      </w:r>
    </w:p>
    <w:p w:rsidR="00345849" w:rsidRDefault="00345849" w:rsidP="00491580">
      <w:pPr>
        <w:pStyle w:val="BodyText"/>
        <w:tabs>
          <w:tab w:val="left" w:pos="360"/>
          <w:tab w:val="left" w:pos="540"/>
          <w:tab w:val="left" w:pos="630"/>
          <w:tab w:val="left" w:pos="1080"/>
        </w:tabs>
        <w:ind w:left="1080" w:right="-450" w:hanging="1800"/>
        <w:rPr>
          <w:sz w:val="20"/>
        </w:rPr>
      </w:pPr>
    </w:p>
    <w:p w:rsidR="0059386B" w:rsidRDefault="00B93910" w:rsidP="00B13259">
      <w:pPr>
        <w:pStyle w:val="BodyText"/>
        <w:tabs>
          <w:tab w:val="left" w:pos="360"/>
          <w:tab w:val="left" w:pos="540"/>
          <w:tab w:val="left" w:pos="630"/>
          <w:tab w:val="left" w:pos="1080"/>
        </w:tabs>
        <w:ind w:left="1080" w:right="-90" w:hanging="1800"/>
        <w:rPr>
          <w:sz w:val="20"/>
        </w:rPr>
      </w:pPr>
      <w:r>
        <w:rPr>
          <w:sz w:val="20"/>
        </w:rPr>
        <w:tab/>
      </w:r>
      <w:r>
        <w:rPr>
          <w:sz w:val="20"/>
        </w:rPr>
        <w:tab/>
      </w:r>
      <w:r>
        <w:rPr>
          <w:sz w:val="20"/>
        </w:rPr>
        <w:tab/>
      </w:r>
      <w:r>
        <w:rPr>
          <w:sz w:val="20"/>
        </w:rPr>
        <w:tab/>
      </w:r>
      <w:r w:rsidR="0059386B">
        <w:rPr>
          <w:sz w:val="20"/>
        </w:rPr>
        <w:t xml:space="preserve">Basic EPS </w:t>
      </w:r>
      <w:r w:rsidR="00315535">
        <w:rPr>
          <w:sz w:val="20"/>
        </w:rPr>
        <w:t xml:space="preserve">or loss per share (“LPS”) </w:t>
      </w:r>
      <w:r w:rsidR="0059386B">
        <w:rPr>
          <w:sz w:val="20"/>
        </w:rPr>
        <w:t xml:space="preserve">is calculated by dividing the net profit </w:t>
      </w:r>
      <w:r w:rsidR="00315535">
        <w:rPr>
          <w:sz w:val="20"/>
        </w:rPr>
        <w:t xml:space="preserve">or loss </w:t>
      </w:r>
      <w:r w:rsidR="0059386B">
        <w:rPr>
          <w:sz w:val="20"/>
        </w:rPr>
        <w:t xml:space="preserve">for the </w:t>
      </w:r>
      <w:r w:rsidR="00D40DE5">
        <w:rPr>
          <w:sz w:val="20"/>
        </w:rPr>
        <w:t>periods under review</w:t>
      </w:r>
      <w:r w:rsidR="0059386B">
        <w:rPr>
          <w:sz w:val="20"/>
        </w:rPr>
        <w:t xml:space="preserve"> by the weighted average number of ordinary sh</w:t>
      </w:r>
      <w:r w:rsidR="005367CB">
        <w:rPr>
          <w:sz w:val="20"/>
        </w:rPr>
        <w:t>a</w:t>
      </w:r>
      <w:r w:rsidR="00D40DE5">
        <w:rPr>
          <w:sz w:val="20"/>
        </w:rPr>
        <w:t>res in issue during the same periods.</w:t>
      </w: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p w:rsidR="00B51CA3" w:rsidRDefault="00B51CA3" w:rsidP="00B13259">
      <w:pPr>
        <w:pStyle w:val="BodyText"/>
        <w:tabs>
          <w:tab w:val="left" w:pos="360"/>
          <w:tab w:val="left" w:pos="540"/>
          <w:tab w:val="left" w:pos="630"/>
          <w:tab w:val="left" w:pos="1080"/>
        </w:tabs>
        <w:ind w:left="1080" w:right="-90" w:hanging="1800"/>
        <w:rPr>
          <w:sz w:val="20"/>
        </w:rPr>
      </w:pPr>
    </w:p>
    <w:tbl>
      <w:tblPr>
        <w:tblW w:w="8100" w:type="dxa"/>
        <w:tblInd w:w="1098" w:type="dxa"/>
        <w:tblLayout w:type="fixed"/>
        <w:tblLook w:val="0000"/>
      </w:tblPr>
      <w:tblGrid>
        <w:gridCol w:w="1980"/>
        <w:gridCol w:w="1170"/>
        <w:gridCol w:w="1890"/>
        <w:gridCol w:w="1170"/>
        <w:gridCol w:w="1890"/>
      </w:tblGrid>
      <w:tr w:rsidR="0059386B">
        <w:trPr>
          <w:cantSplit/>
        </w:trPr>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INDIVIDUAL QUARTER</w:t>
            </w:r>
          </w:p>
        </w:tc>
        <w:tc>
          <w:tcPr>
            <w:tcW w:w="3060" w:type="dxa"/>
            <w:gridSpan w:val="2"/>
            <w:tcBorders>
              <w:top w:val="single" w:sz="4" w:space="0" w:color="auto"/>
              <w:left w:val="nil"/>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CUMULATIVE QUARTER</w:t>
            </w:r>
          </w:p>
        </w:tc>
      </w:tr>
      <w:tr w:rsidR="0059386B">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9386B" w:rsidRPr="00FE3ECC" w:rsidRDefault="0059386B" w:rsidP="00B93910">
            <w:pPr>
              <w:pStyle w:val="BodyText"/>
              <w:tabs>
                <w:tab w:val="left" w:pos="360"/>
                <w:tab w:val="left" w:pos="540"/>
                <w:tab w:val="left" w:pos="630"/>
                <w:tab w:val="left" w:pos="1080"/>
              </w:tabs>
              <w:ind w:right="-108" w:hanging="108"/>
              <w:jc w:val="center"/>
              <w:rPr>
                <w:b/>
                <w:sz w:val="18"/>
              </w:rPr>
            </w:pPr>
            <w:r w:rsidRPr="00FE3ECC">
              <w:rPr>
                <w:b/>
                <w:sz w:val="18"/>
              </w:rPr>
              <w:t>CURRENT</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YEAR</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QUARTER</w:t>
            </w:r>
          </w:p>
          <w:p w:rsidR="00345849" w:rsidRPr="00FE3ECC" w:rsidRDefault="0009406A" w:rsidP="00E56A09">
            <w:pPr>
              <w:pStyle w:val="BodyText"/>
              <w:tabs>
                <w:tab w:val="left" w:pos="360"/>
                <w:tab w:val="left" w:pos="540"/>
                <w:tab w:val="left" w:pos="630"/>
                <w:tab w:val="left" w:pos="1080"/>
              </w:tabs>
              <w:ind w:right="-108" w:hanging="108"/>
              <w:jc w:val="center"/>
              <w:rPr>
                <w:b/>
                <w:sz w:val="18"/>
              </w:rPr>
            </w:pPr>
            <w:r w:rsidRPr="00FE3ECC">
              <w:rPr>
                <w:b/>
                <w:sz w:val="18"/>
              </w:rPr>
              <w:t>3</w:t>
            </w:r>
            <w:r w:rsidR="00E56A09">
              <w:rPr>
                <w:b/>
                <w:sz w:val="18"/>
              </w:rPr>
              <w:t>0</w:t>
            </w:r>
            <w:r w:rsidR="0059386B" w:rsidRPr="00FE3ECC">
              <w:rPr>
                <w:b/>
                <w:sz w:val="18"/>
              </w:rPr>
              <w:t>/</w:t>
            </w:r>
            <w:r w:rsidR="00E56A09">
              <w:rPr>
                <w:b/>
                <w:sz w:val="18"/>
              </w:rPr>
              <w:t>6</w:t>
            </w:r>
            <w:r w:rsidR="00BA6862" w:rsidRPr="00FE3ECC">
              <w:rPr>
                <w:b/>
                <w:sz w:val="18"/>
              </w:rPr>
              <w:t>/20</w:t>
            </w:r>
            <w:r w:rsidR="007B23AB" w:rsidRPr="00FE3ECC">
              <w:rPr>
                <w:b/>
                <w:sz w:val="18"/>
              </w:rPr>
              <w:t>1</w:t>
            </w:r>
            <w:r w:rsidR="00A43C0D">
              <w:rPr>
                <w:b/>
                <w:sz w:val="18"/>
              </w:rPr>
              <w:t>2</w:t>
            </w:r>
          </w:p>
        </w:tc>
        <w:tc>
          <w:tcPr>
            <w:tcW w:w="1890" w:type="dxa"/>
            <w:tcBorders>
              <w:top w:val="single" w:sz="4" w:space="0" w:color="auto"/>
              <w:left w:val="single" w:sz="4" w:space="0" w:color="auto"/>
              <w:bottom w:val="single" w:sz="4" w:space="0" w:color="auto"/>
              <w:right w:val="single" w:sz="4" w:space="0" w:color="auto"/>
            </w:tcBorders>
          </w:tcPr>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PRECEDING YEAR</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CORRESPONDING</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QUARTER</w:t>
            </w:r>
          </w:p>
          <w:p w:rsidR="0059386B" w:rsidRPr="00FE3ECC" w:rsidRDefault="0059386B" w:rsidP="00E56A09">
            <w:pPr>
              <w:pStyle w:val="BodyText"/>
              <w:tabs>
                <w:tab w:val="left" w:pos="360"/>
                <w:tab w:val="left" w:pos="540"/>
                <w:tab w:val="left" w:pos="630"/>
                <w:tab w:val="left" w:pos="1080"/>
              </w:tabs>
              <w:ind w:right="-108" w:hanging="108"/>
              <w:jc w:val="center"/>
              <w:rPr>
                <w:b/>
                <w:sz w:val="18"/>
              </w:rPr>
            </w:pPr>
            <w:r w:rsidRPr="00FE3ECC">
              <w:rPr>
                <w:b/>
                <w:sz w:val="18"/>
              </w:rPr>
              <w:t>3</w:t>
            </w:r>
            <w:r w:rsidR="00E56A09">
              <w:rPr>
                <w:b/>
                <w:sz w:val="18"/>
              </w:rPr>
              <w:t>0</w:t>
            </w:r>
            <w:r w:rsidRPr="00FE3ECC">
              <w:rPr>
                <w:b/>
                <w:sz w:val="18"/>
              </w:rPr>
              <w:t>/</w:t>
            </w:r>
            <w:r w:rsidR="00E56A09">
              <w:rPr>
                <w:b/>
                <w:sz w:val="18"/>
              </w:rPr>
              <w:t>6</w:t>
            </w:r>
            <w:r w:rsidR="003443DE" w:rsidRPr="00FE3ECC">
              <w:rPr>
                <w:b/>
                <w:sz w:val="18"/>
              </w:rPr>
              <w:t>/</w:t>
            </w:r>
            <w:r w:rsidR="00BA6862" w:rsidRPr="00FE3ECC">
              <w:rPr>
                <w:b/>
                <w:sz w:val="18"/>
              </w:rPr>
              <w:t>20</w:t>
            </w:r>
            <w:r w:rsidR="002C01D9" w:rsidRPr="00FE3ECC">
              <w:rPr>
                <w:b/>
                <w:sz w:val="18"/>
              </w:rPr>
              <w:t>1</w:t>
            </w:r>
            <w:r w:rsidR="00A43C0D">
              <w:rPr>
                <w:b/>
                <w:sz w:val="18"/>
              </w:rPr>
              <w:t>1</w:t>
            </w:r>
          </w:p>
        </w:tc>
        <w:tc>
          <w:tcPr>
            <w:tcW w:w="1170" w:type="dxa"/>
            <w:tcBorders>
              <w:top w:val="single" w:sz="4" w:space="0" w:color="auto"/>
              <w:left w:val="single" w:sz="4" w:space="0" w:color="auto"/>
              <w:bottom w:val="single" w:sz="4" w:space="0" w:color="auto"/>
              <w:right w:val="single" w:sz="4" w:space="0" w:color="auto"/>
            </w:tcBorders>
          </w:tcPr>
          <w:p w:rsidR="0059386B" w:rsidRPr="00FE3ECC" w:rsidRDefault="0059386B" w:rsidP="00B93910">
            <w:pPr>
              <w:pStyle w:val="BodyText"/>
              <w:tabs>
                <w:tab w:val="left" w:pos="360"/>
                <w:tab w:val="left" w:pos="540"/>
                <w:tab w:val="left" w:pos="630"/>
                <w:tab w:val="left" w:pos="1080"/>
              </w:tabs>
              <w:ind w:right="-108" w:hanging="108"/>
              <w:jc w:val="center"/>
              <w:rPr>
                <w:b/>
                <w:sz w:val="18"/>
              </w:rPr>
            </w:pPr>
            <w:r w:rsidRPr="00FE3ECC">
              <w:rPr>
                <w:b/>
                <w:sz w:val="18"/>
              </w:rPr>
              <w:t>CURRENT</w:t>
            </w:r>
          </w:p>
          <w:p w:rsidR="0059386B" w:rsidRPr="00FE3ECC" w:rsidRDefault="003B0D9D" w:rsidP="00B93910">
            <w:pPr>
              <w:pStyle w:val="BodyText"/>
              <w:tabs>
                <w:tab w:val="left" w:pos="360"/>
                <w:tab w:val="left" w:pos="540"/>
                <w:tab w:val="left" w:pos="630"/>
                <w:tab w:val="left" w:pos="1080"/>
              </w:tabs>
              <w:ind w:right="-108" w:hanging="108"/>
              <w:jc w:val="center"/>
              <w:rPr>
                <w:b/>
                <w:sz w:val="18"/>
              </w:rPr>
            </w:pPr>
            <w:r w:rsidRPr="00FE3ECC">
              <w:rPr>
                <w:b/>
                <w:sz w:val="18"/>
              </w:rPr>
              <w:t>YEAR TO DATE</w:t>
            </w:r>
          </w:p>
          <w:p w:rsidR="0059386B" w:rsidRPr="00FE3ECC" w:rsidRDefault="003443DE" w:rsidP="00E56A09">
            <w:pPr>
              <w:pStyle w:val="BodyText"/>
              <w:tabs>
                <w:tab w:val="left" w:pos="360"/>
                <w:tab w:val="left" w:pos="540"/>
                <w:tab w:val="left" w:pos="630"/>
                <w:tab w:val="left" w:pos="1080"/>
              </w:tabs>
              <w:ind w:right="-108" w:hanging="108"/>
              <w:jc w:val="center"/>
              <w:rPr>
                <w:b/>
                <w:sz w:val="18"/>
              </w:rPr>
            </w:pPr>
            <w:r w:rsidRPr="00FE3ECC">
              <w:rPr>
                <w:b/>
                <w:sz w:val="18"/>
              </w:rPr>
              <w:t>3</w:t>
            </w:r>
            <w:r w:rsidR="00E56A09">
              <w:rPr>
                <w:b/>
                <w:sz w:val="18"/>
              </w:rPr>
              <w:t>0</w:t>
            </w:r>
            <w:r w:rsidR="00BA6862" w:rsidRPr="00FE3ECC">
              <w:rPr>
                <w:b/>
                <w:sz w:val="18"/>
              </w:rPr>
              <w:t>/</w:t>
            </w:r>
            <w:r w:rsidR="00E56A09">
              <w:rPr>
                <w:b/>
                <w:sz w:val="18"/>
              </w:rPr>
              <w:t>6</w:t>
            </w:r>
            <w:r w:rsidR="00BA6862" w:rsidRPr="00FE3ECC">
              <w:rPr>
                <w:b/>
                <w:sz w:val="18"/>
              </w:rPr>
              <w:t>/20</w:t>
            </w:r>
            <w:r w:rsidR="007B23AB" w:rsidRPr="00FE3ECC">
              <w:rPr>
                <w:b/>
                <w:sz w:val="18"/>
              </w:rPr>
              <w:t>1</w:t>
            </w:r>
            <w:r w:rsidR="00A43C0D">
              <w:rPr>
                <w:b/>
                <w:sz w:val="18"/>
              </w:rPr>
              <w:t>2</w:t>
            </w:r>
          </w:p>
        </w:tc>
        <w:tc>
          <w:tcPr>
            <w:tcW w:w="1890" w:type="dxa"/>
            <w:tcBorders>
              <w:left w:val="nil"/>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3B0D9D"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PERIOD</w:t>
            </w:r>
          </w:p>
          <w:p w:rsidR="0059386B" w:rsidRDefault="00BA6862" w:rsidP="00E56A09">
            <w:pPr>
              <w:pStyle w:val="BodyText"/>
              <w:tabs>
                <w:tab w:val="left" w:pos="360"/>
                <w:tab w:val="left" w:pos="540"/>
                <w:tab w:val="left" w:pos="702"/>
                <w:tab w:val="left" w:pos="1080"/>
              </w:tabs>
              <w:ind w:right="-108" w:hanging="108"/>
              <w:jc w:val="center"/>
              <w:rPr>
                <w:b/>
                <w:sz w:val="18"/>
              </w:rPr>
            </w:pPr>
            <w:r>
              <w:rPr>
                <w:b/>
                <w:sz w:val="18"/>
              </w:rPr>
              <w:t>3</w:t>
            </w:r>
            <w:r w:rsidR="00E56A09">
              <w:rPr>
                <w:b/>
                <w:sz w:val="18"/>
              </w:rPr>
              <w:t>0</w:t>
            </w:r>
            <w:r>
              <w:rPr>
                <w:b/>
                <w:sz w:val="18"/>
              </w:rPr>
              <w:t>/</w:t>
            </w:r>
            <w:r w:rsidR="00E56A09">
              <w:rPr>
                <w:b/>
                <w:sz w:val="18"/>
              </w:rPr>
              <w:t>6</w:t>
            </w:r>
            <w:r>
              <w:rPr>
                <w:b/>
                <w:sz w:val="18"/>
              </w:rPr>
              <w:t>/20</w:t>
            </w:r>
            <w:r w:rsidR="002C01D9">
              <w:rPr>
                <w:b/>
                <w:sz w:val="18"/>
              </w:rPr>
              <w:t>1</w:t>
            </w:r>
            <w:r w:rsidR="00A43C0D">
              <w:rPr>
                <w:b/>
                <w:sz w:val="18"/>
              </w:rPr>
              <w:t>1</w:t>
            </w:r>
          </w:p>
        </w:tc>
      </w:tr>
      <w:tr w:rsidR="00F94132">
        <w:tc>
          <w:tcPr>
            <w:tcW w:w="1980" w:type="dxa"/>
            <w:tcBorders>
              <w:right w:val="single" w:sz="4" w:space="0" w:color="auto"/>
            </w:tcBorders>
          </w:tcPr>
          <w:p w:rsidR="00F94132" w:rsidRPr="00E40AF6" w:rsidRDefault="00E40AF6" w:rsidP="00462395">
            <w:pPr>
              <w:pStyle w:val="BodyText"/>
              <w:tabs>
                <w:tab w:val="left" w:pos="360"/>
                <w:tab w:val="left" w:pos="540"/>
                <w:tab w:val="left" w:pos="630"/>
                <w:tab w:val="left" w:pos="1080"/>
              </w:tabs>
              <w:ind w:right="-108" w:hanging="108"/>
              <w:rPr>
                <w:sz w:val="20"/>
                <w:u w:val="single"/>
              </w:rPr>
            </w:pPr>
            <w:r w:rsidRPr="00E40AF6">
              <w:rPr>
                <w:sz w:val="20"/>
                <w:u w:val="single"/>
              </w:rPr>
              <w:t>RM’000</w:t>
            </w:r>
          </w:p>
        </w:tc>
        <w:tc>
          <w:tcPr>
            <w:tcW w:w="1170" w:type="dxa"/>
            <w:tcBorders>
              <w:top w:val="single" w:sz="4" w:space="0" w:color="auto"/>
              <w:left w:val="single" w:sz="4" w:space="0" w:color="auto"/>
              <w:right w:val="single" w:sz="4" w:space="0" w:color="auto"/>
            </w:tcBorders>
          </w:tcPr>
          <w:p w:rsidR="00F94132" w:rsidRPr="00587F6F" w:rsidRDefault="00F94132" w:rsidP="00491580">
            <w:pPr>
              <w:pStyle w:val="BodyText"/>
              <w:tabs>
                <w:tab w:val="left" w:pos="360"/>
                <w:tab w:val="left" w:pos="540"/>
                <w:tab w:val="left" w:pos="630"/>
                <w:tab w:val="left" w:pos="1080"/>
              </w:tabs>
              <w:ind w:right="-450" w:hanging="1800"/>
              <w:jc w:val="right"/>
              <w:rPr>
                <w:sz w:val="20"/>
                <w:highlight w:val="yellow"/>
              </w:rPr>
            </w:pPr>
          </w:p>
        </w:tc>
        <w:tc>
          <w:tcPr>
            <w:tcW w:w="1890" w:type="dxa"/>
            <w:tcBorders>
              <w:top w:val="single" w:sz="4" w:space="0" w:color="auto"/>
              <w:left w:val="single" w:sz="4" w:space="0" w:color="auto"/>
              <w:right w:val="single" w:sz="4" w:space="0" w:color="auto"/>
            </w:tcBorders>
          </w:tcPr>
          <w:p w:rsidR="00F94132" w:rsidRDefault="00F94132" w:rsidP="00307FCA">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F94132" w:rsidRPr="00587F6F" w:rsidRDefault="00F94132" w:rsidP="00F94132">
            <w:pPr>
              <w:pStyle w:val="BodyText"/>
              <w:tabs>
                <w:tab w:val="left" w:pos="360"/>
                <w:tab w:val="left" w:pos="540"/>
                <w:tab w:val="left" w:pos="630"/>
                <w:tab w:val="left" w:pos="1080"/>
              </w:tabs>
              <w:ind w:right="-450" w:hanging="1800"/>
              <w:jc w:val="right"/>
              <w:rPr>
                <w:sz w:val="20"/>
                <w:highlight w:val="yellow"/>
              </w:rPr>
            </w:pPr>
          </w:p>
        </w:tc>
        <w:tc>
          <w:tcPr>
            <w:tcW w:w="1890" w:type="dxa"/>
            <w:tcBorders>
              <w:top w:val="single" w:sz="4" w:space="0" w:color="auto"/>
              <w:left w:val="single" w:sz="4" w:space="0" w:color="auto"/>
              <w:right w:val="single" w:sz="4" w:space="0" w:color="auto"/>
            </w:tcBorders>
          </w:tcPr>
          <w:p w:rsidR="00F94132" w:rsidRDefault="00F94132" w:rsidP="00307FCA">
            <w:pPr>
              <w:pStyle w:val="BodyText"/>
              <w:tabs>
                <w:tab w:val="left" w:pos="360"/>
                <w:tab w:val="left" w:pos="540"/>
                <w:tab w:val="left" w:pos="630"/>
                <w:tab w:val="left" w:pos="1080"/>
              </w:tabs>
              <w:ind w:right="-450" w:hanging="1800"/>
              <w:jc w:val="right"/>
              <w:rPr>
                <w:sz w:val="20"/>
              </w:rPr>
            </w:pPr>
          </w:p>
        </w:tc>
      </w:tr>
      <w:tr w:rsidR="00E56A09" w:rsidRPr="00176F63">
        <w:tc>
          <w:tcPr>
            <w:tcW w:w="1980" w:type="dxa"/>
            <w:tcBorders>
              <w:right w:val="single" w:sz="4" w:space="0" w:color="auto"/>
            </w:tcBorders>
          </w:tcPr>
          <w:p w:rsidR="00E56A09" w:rsidRPr="00176F63" w:rsidRDefault="00E56A09" w:rsidP="00E40AF6">
            <w:pPr>
              <w:pStyle w:val="BodyText"/>
              <w:tabs>
                <w:tab w:val="left" w:pos="360"/>
                <w:tab w:val="left" w:pos="540"/>
                <w:tab w:val="left" w:pos="630"/>
                <w:tab w:val="left" w:pos="1080"/>
              </w:tabs>
              <w:ind w:right="-108" w:hanging="108"/>
              <w:jc w:val="left"/>
              <w:rPr>
                <w:sz w:val="20"/>
              </w:rPr>
            </w:pPr>
            <w:r>
              <w:rPr>
                <w:sz w:val="20"/>
              </w:rPr>
              <w:t xml:space="preserve">Net (loss)/profit </w:t>
            </w:r>
          </w:p>
        </w:tc>
        <w:tc>
          <w:tcPr>
            <w:tcW w:w="1170" w:type="dxa"/>
            <w:tcBorders>
              <w:left w:val="single" w:sz="4" w:space="0" w:color="auto"/>
              <w:right w:val="single" w:sz="4" w:space="0" w:color="auto"/>
            </w:tcBorders>
            <w:shd w:val="clear" w:color="auto" w:fill="auto"/>
          </w:tcPr>
          <w:p w:rsidR="00E56A09" w:rsidRPr="005D79A7" w:rsidRDefault="00E56A09" w:rsidP="005D79A7">
            <w:pPr>
              <w:pStyle w:val="BodyText"/>
              <w:tabs>
                <w:tab w:val="left" w:pos="360"/>
                <w:tab w:val="left" w:pos="540"/>
                <w:tab w:val="left" w:pos="630"/>
                <w:tab w:val="left" w:pos="1080"/>
              </w:tabs>
              <w:ind w:right="-108" w:hanging="108"/>
              <w:jc w:val="center"/>
              <w:rPr>
                <w:b/>
                <w:sz w:val="20"/>
              </w:rPr>
            </w:pPr>
            <w:r w:rsidRPr="005D79A7">
              <w:rPr>
                <w:b/>
                <w:sz w:val="20"/>
              </w:rPr>
              <w:t xml:space="preserve">   </w:t>
            </w:r>
            <w:r w:rsidR="005D79A7" w:rsidRPr="005D79A7">
              <w:rPr>
                <w:b/>
                <w:sz w:val="20"/>
              </w:rPr>
              <w:t>6,876</w:t>
            </w:r>
          </w:p>
        </w:tc>
        <w:tc>
          <w:tcPr>
            <w:tcW w:w="1890" w:type="dxa"/>
            <w:tcBorders>
              <w:left w:val="single" w:sz="4" w:space="0" w:color="auto"/>
              <w:right w:val="single" w:sz="4" w:space="0" w:color="auto"/>
            </w:tcBorders>
            <w:shd w:val="clear" w:color="auto" w:fill="auto"/>
          </w:tcPr>
          <w:p w:rsidR="00E56A09" w:rsidRPr="005D79A7" w:rsidRDefault="00E56A09" w:rsidP="004C58AD">
            <w:pPr>
              <w:pStyle w:val="BodyText"/>
              <w:tabs>
                <w:tab w:val="left" w:pos="360"/>
                <w:tab w:val="left" w:pos="540"/>
                <w:tab w:val="left" w:pos="630"/>
                <w:tab w:val="left" w:pos="1080"/>
              </w:tabs>
              <w:ind w:right="-108" w:hanging="108"/>
              <w:jc w:val="center"/>
              <w:rPr>
                <w:sz w:val="20"/>
              </w:rPr>
            </w:pPr>
            <w:r w:rsidRPr="005D79A7">
              <w:rPr>
                <w:sz w:val="20"/>
              </w:rPr>
              <w:t xml:space="preserve">  </w:t>
            </w:r>
            <w:r w:rsidR="004C58AD">
              <w:rPr>
                <w:sz w:val="20"/>
              </w:rPr>
              <w:t>96,686</w:t>
            </w:r>
          </w:p>
        </w:tc>
        <w:tc>
          <w:tcPr>
            <w:tcW w:w="1170" w:type="dxa"/>
            <w:tcBorders>
              <w:left w:val="single" w:sz="4" w:space="0" w:color="auto"/>
              <w:right w:val="single" w:sz="4" w:space="0" w:color="auto"/>
            </w:tcBorders>
            <w:shd w:val="clear" w:color="auto" w:fill="auto"/>
          </w:tcPr>
          <w:p w:rsidR="00E56A09" w:rsidRPr="005D79A7" w:rsidRDefault="00E56A09" w:rsidP="00E40AF6">
            <w:pPr>
              <w:pStyle w:val="BodyText"/>
              <w:tabs>
                <w:tab w:val="left" w:pos="360"/>
                <w:tab w:val="left" w:pos="540"/>
                <w:tab w:val="left" w:pos="630"/>
                <w:tab w:val="left" w:pos="1080"/>
              </w:tabs>
              <w:ind w:right="-108" w:hanging="108"/>
              <w:jc w:val="center"/>
            </w:pPr>
            <w:r w:rsidRPr="005D79A7">
              <w:rPr>
                <w:b/>
                <w:sz w:val="20"/>
              </w:rPr>
              <w:t xml:space="preserve">   (</w:t>
            </w:r>
            <w:r w:rsidR="005D79A7" w:rsidRPr="005D79A7">
              <w:rPr>
                <w:b/>
                <w:sz w:val="20"/>
              </w:rPr>
              <w:t>3,690</w:t>
            </w:r>
            <w:r w:rsidRPr="005D79A7">
              <w:rPr>
                <w:b/>
                <w:sz w:val="20"/>
              </w:rPr>
              <w:t>)</w:t>
            </w:r>
          </w:p>
        </w:tc>
        <w:tc>
          <w:tcPr>
            <w:tcW w:w="1890" w:type="dxa"/>
            <w:tcBorders>
              <w:left w:val="single" w:sz="4" w:space="0" w:color="auto"/>
              <w:right w:val="single" w:sz="4" w:space="0" w:color="auto"/>
            </w:tcBorders>
          </w:tcPr>
          <w:p w:rsidR="00E56A09" w:rsidRPr="002614C3" w:rsidRDefault="00E56A09" w:rsidP="004C58AD">
            <w:pPr>
              <w:pStyle w:val="BodyText"/>
              <w:tabs>
                <w:tab w:val="left" w:pos="360"/>
                <w:tab w:val="left" w:pos="540"/>
                <w:tab w:val="left" w:pos="630"/>
                <w:tab w:val="left" w:pos="1080"/>
              </w:tabs>
              <w:ind w:right="-108" w:hanging="108"/>
              <w:jc w:val="center"/>
              <w:rPr>
                <w:sz w:val="20"/>
              </w:rPr>
            </w:pPr>
            <w:r w:rsidRPr="002614C3">
              <w:rPr>
                <w:sz w:val="20"/>
              </w:rPr>
              <w:t xml:space="preserve"> </w:t>
            </w:r>
            <w:r w:rsidR="004C58AD">
              <w:rPr>
                <w:sz w:val="20"/>
              </w:rPr>
              <w:t>104,511</w:t>
            </w:r>
          </w:p>
        </w:tc>
      </w:tr>
      <w:tr w:rsidR="00D6317F" w:rsidRPr="00176F63" w:rsidTr="00E40AF6">
        <w:tc>
          <w:tcPr>
            <w:tcW w:w="1980" w:type="dxa"/>
            <w:tcBorders>
              <w:right w:val="single" w:sz="4" w:space="0" w:color="auto"/>
            </w:tcBorders>
          </w:tcPr>
          <w:p w:rsidR="00D6317F" w:rsidRDefault="00D6317F" w:rsidP="00E40AF6">
            <w:pPr>
              <w:pStyle w:val="BodyText"/>
              <w:tabs>
                <w:tab w:val="left" w:pos="360"/>
                <w:tab w:val="left" w:pos="540"/>
                <w:tab w:val="left" w:pos="630"/>
                <w:tab w:val="left" w:pos="1080"/>
              </w:tabs>
              <w:ind w:left="342" w:right="-108" w:hanging="450"/>
              <w:jc w:val="left"/>
              <w:rPr>
                <w:sz w:val="20"/>
              </w:rPr>
            </w:pPr>
            <w:r>
              <w:rPr>
                <w:sz w:val="20"/>
              </w:rPr>
              <w:t>Less: Profit from discontinued operation, net of tax</w:t>
            </w:r>
            <w:r w:rsidR="004C6F99">
              <w:rPr>
                <w:sz w:val="20"/>
              </w:rPr>
              <w:t xml:space="preserve"> </w:t>
            </w:r>
          </w:p>
        </w:tc>
        <w:tc>
          <w:tcPr>
            <w:tcW w:w="1170" w:type="dxa"/>
            <w:tcBorders>
              <w:left w:val="single" w:sz="4" w:space="0" w:color="auto"/>
              <w:bottom w:val="single" w:sz="4" w:space="0" w:color="auto"/>
              <w:right w:val="single" w:sz="4" w:space="0" w:color="auto"/>
            </w:tcBorders>
            <w:shd w:val="clear" w:color="auto" w:fill="auto"/>
          </w:tcPr>
          <w:p w:rsidR="00D6317F" w:rsidRDefault="00D6317F" w:rsidP="005D79A7">
            <w:pPr>
              <w:pStyle w:val="BodyText"/>
              <w:tabs>
                <w:tab w:val="left" w:pos="360"/>
                <w:tab w:val="left" w:pos="540"/>
                <w:tab w:val="left" w:pos="630"/>
                <w:tab w:val="left" w:pos="1080"/>
              </w:tabs>
              <w:ind w:right="-108" w:hanging="108"/>
              <w:jc w:val="center"/>
              <w:rPr>
                <w:b/>
                <w:sz w:val="20"/>
              </w:rPr>
            </w:pPr>
          </w:p>
          <w:p w:rsidR="00D6317F" w:rsidRDefault="00D6317F" w:rsidP="005D79A7">
            <w:pPr>
              <w:pStyle w:val="BodyText"/>
              <w:tabs>
                <w:tab w:val="left" w:pos="360"/>
                <w:tab w:val="left" w:pos="540"/>
                <w:tab w:val="left" w:pos="630"/>
                <w:tab w:val="left" w:pos="1080"/>
              </w:tabs>
              <w:ind w:right="-108" w:hanging="108"/>
              <w:jc w:val="center"/>
              <w:rPr>
                <w:b/>
                <w:sz w:val="20"/>
              </w:rPr>
            </w:pPr>
          </w:p>
          <w:p w:rsidR="00D6317F" w:rsidRDefault="00D6317F" w:rsidP="005D79A7">
            <w:pPr>
              <w:pStyle w:val="BodyText"/>
              <w:tabs>
                <w:tab w:val="left" w:pos="360"/>
                <w:tab w:val="left" w:pos="540"/>
                <w:tab w:val="left" w:pos="630"/>
                <w:tab w:val="left" w:pos="1080"/>
              </w:tabs>
              <w:ind w:right="-108" w:hanging="108"/>
              <w:jc w:val="center"/>
              <w:rPr>
                <w:b/>
                <w:sz w:val="20"/>
              </w:rPr>
            </w:pPr>
          </w:p>
          <w:p w:rsidR="00D6317F" w:rsidRPr="005D79A7" w:rsidRDefault="00D6317F" w:rsidP="005D79A7">
            <w:pPr>
              <w:pStyle w:val="BodyText"/>
              <w:tabs>
                <w:tab w:val="left" w:pos="360"/>
                <w:tab w:val="left" w:pos="540"/>
                <w:tab w:val="left" w:pos="630"/>
                <w:tab w:val="left" w:pos="1080"/>
              </w:tabs>
              <w:ind w:right="-108" w:hanging="108"/>
              <w:jc w:val="center"/>
              <w:rPr>
                <w:b/>
                <w:sz w:val="20"/>
              </w:rPr>
            </w:pPr>
            <w:r>
              <w:rPr>
                <w:b/>
                <w:sz w:val="20"/>
              </w:rPr>
              <w:t xml:space="preserve">   (12,169)</w:t>
            </w:r>
          </w:p>
        </w:tc>
        <w:tc>
          <w:tcPr>
            <w:tcW w:w="1890" w:type="dxa"/>
            <w:tcBorders>
              <w:left w:val="single" w:sz="4" w:space="0" w:color="auto"/>
              <w:bottom w:val="single" w:sz="4" w:space="0" w:color="auto"/>
              <w:right w:val="single" w:sz="4" w:space="0" w:color="auto"/>
            </w:tcBorders>
            <w:shd w:val="clear" w:color="auto" w:fill="auto"/>
          </w:tcPr>
          <w:p w:rsidR="00D6317F" w:rsidRDefault="00D6317F" w:rsidP="004C58AD">
            <w:pPr>
              <w:pStyle w:val="BodyText"/>
              <w:tabs>
                <w:tab w:val="left" w:pos="360"/>
                <w:tab w:val="left" w:pos="540"/>
                <w:tab w:val="left" w:pos="630"/>
                <w:tab w:val="left" w:pos="1080"/>
              </w:tabs>
              <w:ind w:right="-108" w:hanging="108"/>
              <w:jc w:val="center"/>
              <w:rPr>
                <w:sz w:val="20"/>
              </w:rPr>
            </w:pPr>
          </w:p>
          <w:p w:rsidR="00D6317F" w:rsidRDefault="00D6317F" w:rsidP="004C58AD">
            <w:pPr>
              <w:pStyle w:val="BodyText"/>
              <w:tabs>
                <w:tab w:val="left" w:pos="360"/>
                <w:tab w:val="left" w:pos="540"/>
                <w:tab w:val="left" w:pos="630"/>
                <w:tab w:val="left" w:pos="1080"/>
              </w:tabs>
              <w:ind w:right="-108" w:hanging="108"/>
              <w:jc w:val="center"/>
              <w:rPr>
                <w:sz w:val="20"/>
              </w:rPr>
            </w:pPr>
          </w:p>
          <w:p w:rsidR="00D6317F" w:rsidRDefault="00D6317F" w:rsidP="004C58AD">
            <w:pPr>
              <w:pStyle w:val="BodyText"/>
              <w:tabs>
                <w:tab w:val="left" w:pos="360"/>
                <w:tab w:val="left" w:pos="540"/>
                <w:tab w:val="left" w:pos="630"/>
                <w:tab w:val="left" w:pos="1080"/>
              </w:tabs>
              <w:ind w:right="-108" w:hanging="108"/>
              <w:jc w:val="center"/>
              <w:rPr>
                <w:sz w:val="20"/>
              </w:rPr>
            </w:pPr>
          </w:p>
          <w:p w:rsidR="00D6317F" w:rsidRPr="005D79A7" w:rsidRDefault="00D6317F" w:rsidP="004C58AD">
            <w:pPr>
              <w:pStyle w:val="BodyText"/>
              <w:tabs>
                <w:tab w:val="left" w:pos="360"/>
                <w:tab w:val="left" w:pos="540"/>
                <w:tab w:val="left" w:pos="630"/>
                <w:tab w:val="left" w:pos="1080"/>
              </w:tabs>
              <w:ind w:right="-108" w:hanging="108"/>
              <w:jc w:val="center"/>
              <w:rPr>
                <w:sz w:val="20"/>
              </w:rPr>
            </w:pPr>
            <w:r>
              <w:rPr>
                <w:sz w:val="20"/>
              </w:rPr>
              <w:t xml:space="preserve">    (8,957)</w:t>
            </w:r>
          </w:p>
        </w:tc>
        <w:tc>
          <w:tcPr>
            <w:tcW w:w="1170" w:type="dxa"/>
            <w:tcBorders>
              <w:left w:val="single" w:sz="4" w:space="0" w:color="auto"/>
              <w:bottom w:val="single" w:sz="4" w:space="0" w:color="auto"/>
              <w:right w:val="single" w:sz="4" w:space="0" w:color="auto"/>
            </w:tcBorders>
            <w:shd w:val="clear" w:color="auto" w:fill="auto"/>
          </w:tcPr>
          <w:p w:rsidR="00D6317F" w:rsidRDefault="00D6317F" w:rsidP="000D75A8">
            <w:pPr>
              <w:pStyle w:val="BodyText"/>
              <w:tabs>
                <w:tab w:val="left" w:pos="360"/>
                <w:tab w:val="left" w:pos="540"/>
                <w:tab w:val="left" w:pos="630"/>
                <w:tab w:val="left" w:pos="1080"/>
              </w:tabs>
              <w:ind w:right="-108" w:hanging="108"/>
              <w:jc w:val="center"/>
              <w:rPr>
                <w:b/>
                <w:sz w:val="20"/>
              </w:rPr>
            </w:pPr>
          </w:p>
          <w:p w:rsidR="00D6317F" w:rsidRDefault="00D6317F" w:rsidP="000D75A8">
            <w:pPr>
              <w:pStyle w:val="BodyText"/>
              <w:tabs>
                <w:tab w:val="left" w:pos="360"/>
                <w:tab w:val="left" w:pos="540"/>
                <w:tab w:val="left" w:pos="630"/>
                <w:tab w:val="left" w:pos="1080"/>
              </w:tabs>
              <w:ind w:right="-108" w:hanging="108"/>
              <w:jc w:val="center"/>
              <w:rPr>
                <w:b/>
                <w:sz w:val="20"/>
              </w:rPr>
            </w:pPr>
          </w:p>
          <w:p w:rsidR="00D6317F" w:rsidRDefault="00D6317F" w:rsidP="000D75A8">
            <w:pPr>
              <w:pStyle w:val="BodyText"/>
              <w:tabs>
                <w:tab w:val="left" w:pos="360"/>
                <w:tab w:val="left" w:pos="540"/>
                <w:tab w:val="left" w:pos="630"/>
                <w:tab w:val="left" w:pos="1080"/>
              </w:tabs>
              <w:ind w:right="-108" w:hanging="108"/>
              <w:jc w:val="center"/>
              <w:rPr>
                <w:b/>
                <w:sz w:val="20"/>
              </w:rPr>
            </w:pPr>
          </w:p>
          <w:p w:rsidR="00D6317F" w:rsidRPr="005D79A7" w:rsidRDefault="00D6317F" w:rsidP="000D75A8">
            <w:pPr>
              <w:pStyle w:val="BodyText"/>
              <w:tabs>
                <w:tab w:val="left" w:pos="360"/>
                <w:tab w:val="left" w:pos="540"/>
                <w:tab w:val="left" w:pos="630"/>
                <w:tab w:val="left" w:pos="1080"/>
              </w:tabs>
              <w:ind w:right="-108" w:hanging="108"/>
              <w:jc w:val="center"/>
              <w:rPr>
                <w:b/>
                <w:sz w:val="20"/>
              </w:rPr>
            </w:pPr>
            <w:r>
              <w:rPr>
                <w:b/>
                <w:sz w:val="20"/>
              </w:rPr>
              <w:t xml:space="preserve">  (23,672)</w:t>
            </w:r>
          </w:p>
        </w:tc>
        <w:tc>
          <w:tcPr>
            <w:tcW w:w="1890" w:type="dxa"/>
            <w:tcBorders>
              <w:left w:val="single" w:sz="4" w:space="0" w:color="auto"/>
              <w:bottom w:val="single" w:sz="4" w:space="0" w:color="auto"/>
              <w:right w:val="single" w:sz="4" w:space="0" w:color="auto"/>
            </w:tcBorders>
          </w:tcPr>
          <w:p w:rsidR="00D6317F" w:rsidRDefault="00D6317F" w:rsidP="004C58AD">
            <w:pPr>
              <w:pStyle w:val="BodyText"/>
              <w:tabs>
                <w:tab w:val="left" w:pos="360"/>
                <w:tab w:val="left" w:pos="540"/>
                <w:tab w:val="left" w:pos="630"/>
                <w:tab w:val="left" w:pos="1080"/>
              </w:tabs>
              <w:ind w:right="-108" w:hanging="108"/>
              <w:jc w:val="center"/>
              <w:rPr>
                <w:sz w:val="20"/>
              </w:rPr>
            </w:pPr>
          </w:p>
          <w:p w:rsidR="00D6317F" w:rsidRDefault="00D6317F" w:rsidP="004C58AD">
            <w:pPr>
              <w:pStyle w:val="BodyText"/>
              <w:tabs>
                <w:tab w:val="left" w:pos="360"/>
                <w:tab w:val="left" w:pos="540"/>
                <w:tab w:val="left" w:pos="630"/>
                <w:tab w:val="left" w:pos="1080"/>
              </w:tabs>
              <w:ind w:right="-108" w:hanging="108"/>
              <w:jc w:val="center"/>
              <w:rPr>
                <w:sz w:val="20"/>
              </w:rPr>
            </w:pPr>
          </w:p>
          <w:p w:rsidR="00D6317F" w:rsidRDefault="00D6317F" w:rsidP="004C58AD">
            <w:pPr>
              <w:pStyle w:val="BodyText"/>
              <w:tabs>
                <w:tab w:val="left" w:pos="360"/>
                <w:tab w:val="left" w:pos="540"/>
                <w:tab w:val="left" w:pos="630"/>
                <w:tab w:val="left" w:pos="1080"/>
              </w:tabs>
              <w:ind w:right="-108" w:hanging="108"/>
              <w:jc w:val="center"/>
              <w:rPr>
                <w:sz w:val="20"/>
              </w:rPr>
            </w:pPr>
          </w:p>
          <w:p w:rsidR="00D6317F" w:rsidRPr="002614C3" w:rsidRDefault="00D6317F" w:rsidP="004C58AD">
            <w:pPr>
              <w:pStyle w:val="BodyText"/>
              <w:tabs>
                <w:tab w:val="left" w:pos="360"/>
                <w:tab w:val="left" w:pos="540"/>
                <w:tab w:val="left" w:pos="630"/>
                <w:tab w:val="left" w:pos="1080"/>
              </w:tabs>
              <w:ind w:right="-108" w:hanging="108"/>
              <w:jc w:val="center"/>
              <w:rPr>
                <w:sz w:val="20"/>
              </w:rPr>
            </w:pPr>
            <w:r>
              <w:rPr>
                <w:sz w:val="20"/>
              </w:rPr>
              <w:t xml:space="preserve">  (19,137)</w:t>
            </w:r>
          </w:p>
        </w:tc>
      </w:tr>
      <w:tr w:rsidR="00D6317F" w:rsidRPr="00176F63" w:rsidTr="00E40AF6">
        <w:tc>
          <w:tcPr>
            <w:tcW w:w="1980" w:type="dxa"/>
            <w:tcBorders>
              <w:right w:val="single" w:sz="4" w:space="0" w:color="auto"/>
            </w:tcBorders>
          </w:tcPr>
          <w:p w:rsidR="00D6317F" w:rsidRDefault="00D6317F" w:rsidP="00E40AF6">
            <w:pPr>
              <w:pStyle w:val="BodyText"/>
              <w:tabs>
                <w:tab w:val="left" w:pos="540"/>
                <w:tab w:val="left" w:pos="630"/>
                <w:tab w:val="left" w:pos="1080"/>
              </w:tabs>
              <w:ind w:left="-108" w:right="-108"/>
              <w:jc w:val="left"/>
              <w:rPr>
                <w:sz w:val="20"/>
              </w:rPr>
            </w:pPr>
            <w:r>
              <w:rPr>
                <w:sz w:val="20"/>
              </w:rPr>
              <w:t>Net (loss)/profit from continuing operations</w:t>
            </w:r>
            <w:r w:rsidR="004C6F99">
              <w:rPr>
                <w:sz w:val="20"/>
              </w:rPr>
              <w:t xml:space="preserve"> </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4C6F99" w:rsidRDefault="004C6F99" w:rsidP="005D79A7">
            <w:pPr>
              <w:pStyle w:val="BodyText"/>
              <w:tabs>
                <w:tab w:val="left" w:pos="360"/>
                <w:tab w:val="left" w:pos="540"/>
                <w:tab w:val="left" w:pos="630"/>
                <w:tab w:val="left" w:pos="1080"/>
              </w:tabs>
              <w:ind w:right="-108" w:hanging="108"/>
              <w:jc w:val="center"/>
              <w:rPr>
                <w:b/>
                <w:sz w:val="20"/>
              </w:rPr>
            </w:pPr>
          </w:p>
          <w:p w:rsidR="004C6F99" w:rsidRDefault="004C6F99" w:rsidP="005D79A7">
            <w:pPr>
              <w:pStyle w:val="BodyText"/>
              <w:tabs>
                <w:tab w:val="left" w:pos="360"/>
                <w:tab w:val="left" w:pos="540"/>
                <w:tab w:val="left" w:pos="630"/>
                <w:tab w:val="left" w:pos="1080"/>
              </w:tabs>
              <w:ind w:right="-108" w:hanging="108"/>
              <w:jc w:val="center"/>
              <w:rPr>
                <w:b/>
                <w:sz w:val="20"/>
              </w:rPr>
            </w:pPr>
            <w:r>
              <w:rPr>
                <w:b/>
                <w:sz w:val="20"/>
              </w:rPr>
              <w:t xml:space="preserve">     (5,293)</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4C6F99" w:rsidRDefault="004C6F99" w:rsidP="004C58AD">
            <w:pPr>
              <w:pStyle w:val="BodyText"/>
              <w:tabs>
                <w:tab w:val="left" w:pos="360"/>
                <w:tab w:val="left" w:pos="540"/>
                <w:tab w:val="left" w:pos="630"/>
                <w:tab w:val="left" w:pos="1080"/>
              </w:tabs>
              <w:ind w:right="-108" w:hanging="108"/>
              <w:jc w:val="center"/>
              <w:rPr>
                <w:sz w:val="20"/>
              </w:rPr>
            </w:pPr>
          </w:p>
          <w:p w:rsidR="004C6F99" w:rsidRDefault="004C6F99" w:rsidP="004C58AD">
            <w:pPr>
              <w:pStyle w:val="BodyText"/>
              <w:tabs>
                <w:tab w:val="left" w:pos="360"/>
                <w:tab w:val="left" w:pos="540"/>
                <w:tab w:val="left" w:pos="630"/>
                <w:tab w:val="left" w:pos="1080"/>
              </w:tabs>
              <w:ind w:right="-108" w:hanging="108"/>
              <w:jc w:val="center"/>
              <w:rPr>
                <w:sz w:val="20"/>
              </w:rPr>
            </w:pPr>
            <w:r>
              <w:rPr>
                <w:sz w:val="20"/>
              </w:rPr>
              <w:t xml:space="preserve">   87,729</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D6317F" w:rsidRDefault="00D6317F" w:rsidP="000D75A8">
            <w:pPr>
              <w:pStyle w:val="BodyText"/>
              <w:tabs>
                <w:tab w:val="left" w:pos="360"/>
                <w:tab w:val="left" w:pos="540"/>
                <w:tab w:val="left" w:pos="630"/>
                <w:tab w:val="left" w:pos="1080"/>
              </w:tabs>
              <w:ind w:right="-108" w:hanging="108"/>
              <w:jc w:val="center"/>
              <w:rPr>
                <w:b/>
                <w:sz w:val="20"/>
              </w:rPr>
            </w:pPr>
          </w:p>
          <w:p w:rsidR="004C6F99" w:rsidRDefault="004C6F99" w:rsidP="000D75A8">
            <w:pPr>
              <w:pStyle w:val="BodyText"/>
              <w:tabs>
                <w:tab w:val="left" w:pos="360"/>
                <w:tab w:val="left" w:pos="540"/>
                <w:tab w:val="left" w:pos="630"/>
                <w:tab w:val="left" w:pos="1080"/>
              </w:tabs>
              <w:ind w:right="-108" w:hanging="108"/>
              <w:jc w:val="center"/>
              <w:rPr>
                <w:b/>
                <w:sz w:val="20"/>
              </w:rPr>
            </w:pPr>
            <w:r>
              <w:rPr>
                <w:b/>
                <w:sz w:val="20"/>
              </w:rPr>
              <w:t xml:space="preserve">  (27,362)</w:t>
            </w:r>
          </w:p>
        </w:tc>
        <w:tc>
          <w:tcPr>
            <w:tcW w:w="1890" w:type="dxa"/>
            <w:tcBorders>
              <w:top w:val="single" w:sz="4" w:space="0" w:color="auto"/>
              <w:left w:val="single" w:sz="4" w:space="0" w:color="auto"/>
              <w:bottom w:val="single" w:sz="12" w:space="0" w:color="auto"/>
              <w:right w:val="single" w:sz="4" w:space="0" w:color="auto"/>
            </w:tcBorders>
          </w:tcPr>
          <w:p w:rsidR="004C6F99" w:rsidRDefault="004C6F99" w:rsidP="004C58AD">
            <w:pPr>
              <w:pStyle w:val="BodyText"/>
              <w:tabs>
                <w:tab w:val="left" w:pos="360"/>
                <w:tab w:val="left" w:pos="540"/>
                <w:tab w:val="left" w:pos="630"/>
                <w:tab w:val="left" w:pos="1080"/>
              </w:tabs>
              <w:ind w:right="-108" w:hanging="108"/>
              <w:jc w:val="center"/>
              <w:rPr>
                <w:sz w:val="20"/>
              </w:rPr>
            </w:pPr>
          </w:p>
          <w:p w:rsidR="004C6F99" w:rsidRDefault="004C6F99" w:rsidP="004C58AD">
            <w:pPr>
              <w:pStyle w:val="BodyText"/>
              <w:tabs>
                <w:tab w:val="left" w:pos="360"/>
                <w:tab w:val="left" w:pos="540"/>
                <w:tab w:val="left" w:pos="630"/>
                <w:tab w:val="left" w:pos="1080"/>
              </w:tabs>
              <w:ind w:right="-108" w:hanging="108"/>
              <w:jc w:val="center"/>
              <w:rPr>
                <w:sz w:val="20"/>
              </w:rPr>
            </w:pPr>
            <w:r>
              <w:rPr>
                <w:sz w:val="20"/>
              </w:rPr>
              <w:t xml:space="preserve">  85,374</w:t>
            </w:r>
          </w:p>
        </w:tc>
      </w:tr>
      <w:tr w:rsidR="00E56A09" w:rsidRPr="00176F63" w:rsidTr="00E40AF6">
        <w:trPr>
          <w:trHeight w:val="108"/>
        </w:trPr>
        <w:tc>
          <w:tcPr>
            <w:tcW w:w="1980" w:type="dxa"/>
            <w:tcBorders>
              <w:right w:val="single" w:sz="4" w:space="0" w:color="auto"/>
            </w:tcBorders>
          </w:tcPr>
          <w:p w:rsidR="00E56A09" w:rsidRPr="00176F63" w:rsidRDefault="00E56A09" w:rsidP="00462395">
            <w:pPr>
              <w:pStyle w:val="BodyText"/>
              <w:tabs>
                <w:tab w:val="left" w:pos="360"/>
                <w:tab w:val="left" w:pos="540"/>
                <w:tab w:val="left" w:pos="630"/>
                <w:tab w:val="left" w:pos="1080"/>
              </w:tabs>
              <w:ind w:right="-108" w:hanging="108"/>
              <w:jc w:val="left"/>
              <w:rPr>
                <w:sz w:val="20"/>
              </w:rPr>
            </w:pPr>
          </w:p>
        </w:tc>
        <w:tc>
          <w:tcPr>
            <w:tcW w:w="1170" w:type="dxa"/>
            <w:tcBorders>
              <w:top w:val="single" w:sz="12" w:space="0" w:color="auto"/>
              <w:left w:val="single" w:sz="4" w:space="0" w:color="auto"/>
              <w:right w:val="single" w:sz="4" w:space="0" w:color="auto"/>
            </w:tcBorders>
            <w:shd w:val="clear" w:color="auto" w:fill="auto"/>
          </w:tcPr>
          <w:p w:rsidR="00E56A09" w:rsidRPr="005D79A7" w:rsidRDefault="00E56A09" w:rsidP="00A21A4D">
            <w:pPr>
              <w:pStyle w:val="BodyText"/>
              <w:tabs>
                <w:tab w:val="left" w:pos="360"/>
                <w:tab w:val="left" w:pos="540"/>
                <w:tab w:val="left" w:pos="630"/>
                <w:tab w:val="left" w:pos="1080"/>
              </w:tabs>
              <w:ind w:right="-108" w:hanging="108"/>
              <w:jc w:val="center"/>
              <w:rPr>
                <w:b/>
                <w:sz w:val="20"/>
              </w:rPr>
            </w:pPr>
          </w:p>
        </w:tc>
        <w:tc>
          <w:tcPr>
            <w:tcW w:w="1890" w:type="dxa"/>
            <w:tcBorders>
              <w:top w:val="single" w:sz="12" w:space="0" w:color="auto"/>
              <w:left w:val="single" w:sz="4" w:space="0" w:color="auto"/>
              <w:right w:val="single" w:sz="4" w:space="0" w:color="auto"/>
            </w:tcBorders>
            <w:shd w:val="clear" w:color="auto" w:fill="auto"/>
          </w:tcPr>
          <w:p w:rsidR="00E56A09" w:rsidRPr="005D79A7" w:rsidRDefault="00E56A09" w:rsidP="005F46D0">
            <w:pPr>
              <w:pStyle w:val="BodyText"/>
              <w:tabs>
                <w:tab w:val="left" w:pos="360"/>
                <w:tab w:val="left" w:pos="540"/>
                <w:tab w:val="left" w:pos="630"/>
                <w:tab w:val="left" w:pos="1080"/>
              </w:tabs>
              <w:ind w:right="-108" w:hanging="108"/>
              <w:jc w:val="center"/>
              <w:rPr>
                <w:sz w:val="20"/>
              </w:rPr>
            </w:pPr>
          </w:p>
        </w:tc>
        <w:tc>
          <w:tcPr>
            <w:tcW w:w="1170" w:type="dxa"/>
            <w:tcBorders>
              <w:top w:val="single" w:sz="12" w:space="0" w:color="auto"/>
              <w:left w:val="single" w:sz="4" w:space="0" w:color="auto"/>
              <w:right w:val="single" w:sz="4" w:space="0" w:color="auto"/>
            </w:tcBorders>
            <w:shd w:val="clear" w:color="auto" w:fill="auto"/>
          </w:tcPr>
          <w:p w:rsidR="00E56A09" w:rsidRPr="005D79A7" w:rsidRDefault="00E56A09" w:rsidP="00F94132">
            <w:pPr>
              <w:pStyle w:val="BodyText"/>
              <w:tabs>
                <w:tab w:val="left" w:pos="360"/>
                <w:tab w:val="left" w:pos="540"/>
                <w:tab w:val="left" w:pos="630"/>
                <w:tab w:val="left" w:pos="1080"/>
              </w:tabs>
              <w:ind w:right="-108" w:hanging="108"/>
              <w:jc w:val="center"/>
              <w:rPr>
                <w:b/>
                <w:sz w:val="20"/>
              </w:rPr>
            </w:pPr>
          </w:p>
        </w:tc>
        <w:tc>
          <w:tcPr>
            <w:tcW w:w="1890" w:type="dxa"/>
            <w:tcBorders>
              <w:top w:val="single" w:sz="12" w:space="0" w:color="auto"/>
              <w:left w:val="single" w:sz="4" w:space="0" w:color="auto"/>
              <w:right w:val="single" w:sz="4" w:space="0" w:color="auto"/>
            </w:tcBorders>
          </w:tcPr>
          <w:p w:rsidR="00E56A09" w:rsidRPr="002614C3" w:rsidRDefault="00E56A09" w:rsidP="005F46D0">
            <w:pPr>
              <w:pStyle w:val="BodyText"/>
              <w:tabs>
                <w:tab w:val="left" w:pos="360"/>
                <w:tab w:val="left" w:pos="540"/>
                <w:tab w:val="left" w:pos="630"/>
                <w:tab w:val="left" w:pos="1080"/>
              </w:tabs>
              <w:ind w:right="-108" w:hanging="108"/>
              <w:jc w:val="center"/>
              <w:rPr>
                <w:sz w:val="20"/>
              </w:rPr>
            </w:pPr>
          </w:p>
        </w:tc>
      </w:tr>
      <w:tr w:rsidR="00E56A09" w:rsidRPr="00176F63">
        <w:tc>
          <w:tcPr>
            <w:tcW w:w="1980" w:type="dxa"/>
            <w:tcBorders>
              <w:right w:val="single" w:sz="4" w:space="0" w:color="auto"/>
            </w:tcBorders>
          </w:tcPr>
          <w:p w:rsidR="00E56A09" w:rsidRPr="00176F63" w:rsidRDefault="00E56A09" w:rsidP="00462395">
            <w:pPr>
              <w:pStyle w:val="BodyText"/>
              <w:tabs>
                <w:tab w:val="left" w:pos="360"/>
                <w:tab w:val="left" w:pos="540"/>
                <w:tab w:val="left" w:pos="630"/>
                <w:tab w:val="left" w:pos="1080"/>
              </w:tabs>
              <w:ind w:left="-108" w:right="-108"/>
              <w:jc w:val="left"/>
              <w:rPr>
                <w:sz w:val="20"/>
              </w:rPr>
            </w:pPr>
            <w:r w:rsidRPr="00176F63">
              <w:rPr>
                <w:sz w:val="20"/>
              </w:rPr>
              <w:t>Weighted average number of ordinary shares in issue  ('000)</w:t>
            </w:r>
          </w:p>
        </w:tc>
        <w:tc>
          <w:tcPr>
            <w:tcW w:w="1170" w:type="dxa"/>
            <w:tcBorders>
              <w:left w:val="single" w:sz="4" w:space="0" w:color="auto"/>
              <w:right w:val="single" w:sz="4" w:space="0" w:color="auto"/>
            </w:tcBorders>
            <w:shd w:val="clear" w:color="auto" w:fill="auto"/>
          </w:tcPr>
          <w:p w:rsidR="00E56A09" w:rsidRPr="005D79A7" w:rsidRDefault="00E56A09" w:rsidP="00A21A4D">
            <w:pPr>
              <w:pStyle w:val="BodyText"/>
              <w:tabs>
                <w:tab w:val="left" w:pos="360"/>
                <w:tab w:val="left" w:pos="540"/>
                <w:tab w:val="left" w:pos="630"/>
                <w:tab w:val="left" w:pos="1080"/>
              </w:tabs>
              <w:ind w:right="-108" w:hanging="108"/>
              <w:jc w:val="center"/>
              <w:rPr>
                <w:b/>
                <w:sz w:val="20"/>
              </w:rPr>
            </w:pPr>
            <w:r w:rsidRPr="005D79A7">
              <w:rPr>
                <w:b/>
                <w:sz w:val="20"/>
              </w:rPr>
              <w:t xml:space="preserve"> 570,050</w:t>
            </w:r>
          </w:p>
        </w:tc>
        <w:tc>
          <w:tcPr>
            <w:tcW w:w="1890" w:type="dxa"/>
            <w:tcBorders>
              <w:left w:val="single" w:sz="4" w:space="0" w:color="auto"/>
              <w:right w:val="single" w:sz="4" w:space="0" w:color="auto"/>
            </w:tcBorders>
            <w:shd w:val="clear" w:color="auto" w:fill="auto"/>
          </w:tcPr>
          <w:p w:rsidR="00E56A09" w:rsidRPr="005D79A7" w:rsidRDefault="00E56A09" w:rsidP="005F46D0">
            <w:pPr>
              <w:pStyle w:val="BodyText"/>
              <w:tabs>
                <w:tab w:val="left" w:pos="360"/>
                <w:tab w:val="left" w:pos="540"/>
                <w:tab w:val="left" w:pos="630"/>
                <w:tab w:val="left" w:pos="1080"/>
              </w:tabs>
              <w:ind w:right="-108" w:hanging="108"/>
              <w:jc w:val="center"/>
              <w:rPr>
                <w:sz w:val="20"/>
              </w:rPr>
            </w:pPr>
            <w:r w:rsidRPr="005D79A7">
              <w:rPr>
                <w:sz w:val="20"/>
              </w:rPr>
              <w:t xml:space="preserve"> 570,050</w:t>
            </w:r>
          </w:p>
        </w:tc>
        <w:tc>
          <w:tcPr>
            <w:tcW w:w="1170" w:type="dxa"/>
            <w:tcBorders>
              <w:left w:val="single" w:sz="4" w:space="0" w:color="auto"/>
              <w:right w:val="single" w:sz="4" w:space="0" w:color="auto"/>
            </w:tcBorders>
            <w:shd w:val="clear" w:color="auto" w:fill="auto"/>
          </w:tcPr>
          <w:p w:rsidR="00E56A09" w:rsidRPr="005D79A7" w:rsidRDefault="00E56A09" w:rsidP="00F94132">
            <w:pPr>
              <w:pStyle w:val="BodyText"/>
              <w:tabs>
                <w:tab w:val="left" w:pos="360"/>
                <w:tab w:val="left" w:pos="540"/>
                <w:tab w:val="left" w:pos="630"/>
                <w:tab w:val="left" w:pos="1080"/>
              </w:tabs>
              <w:ind w:right="-108" w:hanging="108"/>
              <w:jc w:val="center"/>
              <w:rPr>
                <w:b/>
                <w:sz w:val="20"/>
              </w:rPr>
            </w:pPr>
            <w:r w:rsidRPr="005D79A7">
              <w:rPr>
                <w:b/>
                <w:sz w:val="20"/>
              </w:rPr>
              <w:t xml:space="preserve"> 570,050</w:t>
            </w:r>
          </w:p>
        </w:tc>
        <w:tc>
          <w:tcPr>
            <w:tcW w:w="1890" w:type="dxa"/>
            <w:tcBorders>
              <w:left w:val="single" w:sz="4" w:space="0" w:color="auto"/>
              <w:right w:val="single" w:sz="4" w:space="0" w:color="auto"/>
            </w:tcBorders>
          </w:tcPr>
          <w:p w:rsidR="00E56A09" w:rsidRPr="002614C3" w:rsidRDefault="00E56A09" w:rsidP="005F46D0">
            <w:pPr>
              <w:pStyle w:val="BodyText"/>
              <w:tabs>
                <w:tab w:val="left" w:pos="360"/>
                <w:tab w:val="left" w:pos="540"/>
                <w:tab w:val="left" w:pos="630"/>
                <w:tab w:val="left" w:pos="1080"/>
              </w:tabs>
              <w:ind w:right="-108" w:hanging="108"/>
              <w:jc w:val="center"/>
              <w:rPr>
                <w:sz w:val="20"/>
              </w:rPr>
            </w:pPr>
            <w:r w:rsidRPr="002614C3">
              <w:rPr>
                <w:sz w:val="20"/>
              </w:rPr>
              <w:t xml:space="preserve"> 570,050</w:t>
            </w:r>
          </w:p>
        </w:tc>
      </w:tr>
      <w:tr w:rsidR="00E56A09" w:rsidRPr="00176F63">
        <w:tc>
          <w:tcPr>
            <w:tcW w:w="1980" w:type="dxa"/>
            <w:tcBorders>
              <w:right w:val="single" w:sz="4" w:space="0" w:color="auto"/>
            </w:tcBorders>
          </w:tcPr>
          <w:p w:rsidR="00E56A09" w:rsidRPr="00176F63" w:rsidRDefault="00E56A09" w:rsidP="00462395">
            <w:pPr>
              <w:pStyle w:val="BodyText"/>
              <w:tabs>
                <w:tab w:val="left" w:pos="360"/>
                <w:tab w:val="left" w:pos="540"/>
                <w:tab w:val="left" w:pos="630"/>
                <w:tab w:val="left" w:pos="1080"/>
              </w:tabs>
              <w:ind w:right="-450" w:hanging="108"/>
              <w:jc w:val="left"/>
              <w:rPr>
                <w:sz w:val="20"/>
              </w:rPr>
            </w:pPr>
          </w:p>
        </w:tc>
        <w:tc>
          <w:tcPr>
            <w:tcW w:w="1170" w:type="dxa"/>
            <w:tcBorders>
              <w:left w:val="single" w:sz="4" w:space="0" w:color="auto"/>
              <w:right w:val="single" w:sz="4" w:space="0" w:color="auto"/>
            </w:tcBorders>
            <w:shd w:val="clear" w:color="auto" w:fill="auto"/>
          </w:tcPr>
          <w:p w:rsidR="00E56A09" w:rsidRPr="005D79A7" w:rsidRDefault="00E56A09" w:rsidP="00A21A4D">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E56A09" w:rsidRPr="005D79A7" w:rsidRDefault="00E56A09" w:rsidP="005F46D0">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56A09" w:rsidRPr="005D79A7" w:rsidRDefault="00E56A09" w:rsidP="00F94132">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tcPr>
          <w:p w:rsidR="00E56A09" w:rsidRPr="002614C3" w:rsidRDefault="00E56A09" w:rsidP="005F46D0">
            <w:pPr>
              <w:pStyle w:val="BodyText"/>
              <w:tabs>
                <w:tab w:val="left" w:pos="360"/>
                <w:tab w:val="left" w:pos="540"/>
                <w:tab w:val="left" w:pos="630"/>
                <w:tab w:val="left" w:pos="1080"/>
              </w:tabs>
              <w:ind w:right="-108" w:hanging="108"/>
              <w:jc w:val="center"/>
              <w:rPr>
                <w:sz w:val="20"/>
              </w:rPr>
            </w:pPr>
          </w:p>
        </w:tc>
      </w:tr>
      <w:tr w:rsidR="00BA59AE" w:rsidTr="004C6F99">
        <w:tc>
          <w:tcPr>
            <w:tcW w:w="1980" w:type="dxa"/>
            <w:tcBorders>
              <w:right w:val="single" w:sz="4" w:space="0" w:color="auto"/>
            </w:tcBorders>
          </w:tcPr>
          <w:p w:rsidR="00BA59AE" w:rsidRPr="00BA59AE" w:rsidRDefault="00BA59AE" w:rsidP="00EE0622">
            <w:pPr>
              <w:pStyle w:val="BodyText"/>
              <w:tabs>
                <w:tab w:val="left" w:pos="360"/>
                <w:tab w:val="left" w:pos="540"/>
                <w:tab w:val="left" w:pos="630"/>
                <w:tab w:val="left" w:pos="1080"/>
              </w:tabs>
              <w:ind w:right="-108" w:hanging="108"/>
              <w:rPr>
                <w:sz w:val="20"/>
                <w:u w:val="single"/>
              </w:rPr>
            </w:pPr>
            <w:r w:rsidRPr="00BA59AE">
              <w:rPr>
                <w:sz w:val="20"/>
                <w:u w:val="single"/>
              </w:rPr>
              <w:t>Basic EPS/(LPS) (</w:t>
            </w:r>
            <w:proofErr w:type="spellStart"/>
            <w:r w:rsidRPr="00BA59AE">
              <w:rPr>
                <w:sz w:val="20"/>
                <w:u w:val="single"/>
              </w:rPr>
              <w:t>sen</w:t>
            </w:r>
            <w:proofErr w:type="spellEnd"/>
            <w:r w:rsidRPr="00BA59AE">
              <w:rPr>
                <w:sz w:val="20"/>
                <w:u w:val="single"/>
              </w:rPr>
              <w:t>)</w:t>
            </w:r>
          </w:p>
        </w:tc>
        <w:tc>
          <w:tcPr>
            <w:tcW w:w="1170" w:type="dxa"/>
            <w:tcBorders>
              <w:left w:val="single" w:sz="4" w:space="0" w:color="auto"/>
              <w:right w:val="single" w:sz="4" w:space="0" w:color="auto"/>
            </w:tcBorders>
            <w:shd w:val="clear" w:color="auto" w:fill="auto"/>
          </w:tcPr>
          <w:p w:rsidR="00BA59AE" w:rsidRPr="005D79A7" w:rsidRDefault="00BA59AE" w:rsidP="005D79A7">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shd w:val="clear" w:color="auto" w:fill="auto"/>
          </w:tcPr>
          <w:p w:rsidR="00BA59AE" w:rsidRPr="005D79A7" w:rsidRDefault="00BA59AE" w:rsidP="004C58A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BA59AE" w:rsidRPr="005D79A7" w:rsidRDefault="00BA59AE" w:rsidP="004665D1">
            <w:pPr>
              <w:pStyle w:val="BodyText"/>
              <w:tabs>
                <w:tab w:val="left" w:pos="360"/>
                <w:tab w:val="left" w:pos="540"/>
                <w:tab w:val="left" w:pos="630"/>
                <w:tab w:val="left" w:pos="1080"/>
              </w:tabs>
              <w:ind w:right="-108" w:hanging="108"/>
              <w:jc w:val="center"/>
              <w:rPr>
                <w:b/>
                <w:sz w:val="20"/>
              </w:rPr>
            </w:pPr>
          </w:p>
        </w:tc>
        <w:tc>
          <w:tcPr>
            <w:tcW w:w="1890" w:type="dxa"/>
            <w:tcBorders>
              <w:left w:val="single" w:sz="4" w:space="0" w:color="auto"/>
              <w:right w:val="single" w:sz="4" w:space="0" w:color="auto"/>
            </w:tcBorders>
          </w:tcPr>
          <w:p w:rsidR="00BA59AE" w:rsidRPr="002614C3" w:rsidRDefault="00BA59AE" w:rsidP="004C58AD">
            <w:pPr>
              <w:pStyle w:val="BodyText"/>
              <w:tabs>
                <w:tab w:val="left" w:pos="360"/>
                <w:tab w:val="left" w:pos="540"/>
                <w:tab w:val="left" w:pos="630"/>
                <w:tab w:val="left" w:pos="1080"/>
              </w:tabs>
              <w:ind w:right="-108" w:hanging="108"/>
              <w:jc w:val="center"/>
              <w:rPr>
                <w:sz w:val="20"/>
              </w:rPr>
            </w:pPr>
          </w:p>
        </w:tc>
      </w:tr>
      <w:tr w:rsidR="00152CB6" w:rsidTr="004C6F99">
        <w:tc>
          <w:tcPr>
            <w:tcW w:w="1980" w:type="dxa"/>
            <w:tcBorders>
              <w:right w:val="single" w:sz="4" w:space="0" w:color="auto"/>
            </w:tcBorders>
          </w:tcPr>
          <w:p w:rsidR="00152CB6" w:rsidRPr="00EE4D71" w:rsidRDefault="00152CB6" w:rsidP="00EE0622">
            <w:pPr>
              <w:pStyle w:val="BodyText"/>
              <w:numPr>
                <w:ilvl w:val="0"/>
                <w:numId w:val="3"/>
              </w:numPr>
              <w:tabs>
                <w:tab w:val="left" w:pos="360"/>
                <w:tab w:val="left" w:pos="540"/>
                <w:tab w:val="left" w:pos="630"/>
                <w:tab w:val="left" w:pos="1080"/>
              </w:tabs>
              <w:ind w:right="-108"/>
              <w:jc w:val="left"/>
              <w:rPr>
                <w:sz w:val="20"/>
              </w:rPr>
            </w:pPr>
            <w:r>
              <w:rPr>
                <w:sz w:val="20"/>
              </w:rPr>
              <w:t>attributable to owners of the parent</w:t>
            </w:r>
          </w:p>
        </w:tc>
        <w:tc>
          <w:tcPr>
            <w:tcW w:w="1170" w:type="dxa"/>
            <w:tcBorders>
              <w:left w:val="single" w:sz="4" w:space="0" w:color="auto"/>
              <w:right w:val="single" w:sz="4" w:space="0" w:color="auto"/>
            </w:tcBorders>
            <w:shd w:val="clear" w:color="auto" w:fill="auto"/>
          </w:tcPr>
          <w:p w:rsidR="00152CB6" w:rsidRDefault="00152CB6" w:rsidP="005D79A7">
            <w:pPr>
              <w:pStyle w:val="BodyText"/>
              <w:tabs>
                <w:tab w:val="left" w:pos="360"/>
                <w:tab w:val="left" w:pos="540"/>
                <w:tab w:val="left" w:pos="630"/>
                <w:tab w:val="left" w:pos="1080"/>
              </w:tabs>
              <w:ind w:right="-108" w:hanging="108"/>
              <w:jc w:val="center"/>
              <w:rPr>
                <w:b/>
                <w:sz w:val="20"/>
              </w:rPr>
            </w:pPr>
          </w:p>
          <w:p w:rsidR="00152CB6" w:rsidRDefault="00152CB6" w:rsidP="005D79A7">
            <w:pPr>
              <w:pStyle w:val="BodyText"/>
              <w:tabs>
                <w:tab w:val="left" w:pos="360"/>
                <w:tab w:val="left" w:pos="540"/>
                <w:tab w:val="left" w:pos="630"/>
                <w:tab w:val="left" w:pos="1080"/>
              </w:tabs>
              <w:ind w:right="-108" w:hanging="108"/>
              <w:jc w:val="center"/>
              <w:rPr>
                <w:b/>
                <w:sz w:val="20"/>
              </w:rPr>
            </w:pPr>
            <w:r w:rsidRPr="005D79A7">
              <w:rPr>
                <w:b/>
                <w:sz w:val="20"/>
              </w:rPr>
              <w:t xml:space="preserve">  </w:t>
            </w:r>
          </w:p>
          <w:p w:rsidR="00152CB6" w:rsidRPr="005D79A7" w:rsidRDefault="00152CB6" w:rsidP="005D79A7">
            <w:pPr>
              <w:pStyle w:val="BodyText"/>
              <w:tabs>
                <w:tab w:val="left" w:pos="360"/>
                <w:tab w:val="left" w:pos="540"/>
                <w:tab w:val="left" w:pos="630"/>
                <w:tab w:val="left" w:pos="1080"/>
              </w:tabs>
              <w:ind w:right="-108" w:hanging="108"/>
              <w:jc w:val="center"/>
              <w:rPr>
                <w:b/>
                <w:sz w:val="20"/>
              </w:rPr>
            </w:pPr>
            <w:r w:rsidRPr="005D79A7">
              <w:rPr>
                <w:b/>
                <w:sz w:val="20"/>
              </w:rPr>
              <w:t>1.21</w:t>
            </w:r>
          </w:p>
        </w:tc>
        <w:tc>
          <w:tcPr>
            <w:tcW w:w="1890" w:type="dxa"/>
            <w:tcBorders>
              <w:left w:val="single" w:sz="4" w:space="0" w:color="auto"/>
              <w:right w:val="single" w:sz="4" w:space="0" w:color="auto"/>
            </w:tcBorders>
            <w:shd w:val="clear" w:color="auto" w:fill="auto"/>
          </w:tcPr>
          <w:p w:rsidR="00152CB6" w:rsidRDefault="00152CB6" w:rsidP="004C58AD">
            <w:pPr>
              <w:pStyle w:val="BodyText"/>
              <w:tabs>
                <w:tab w:val="left" w:pos="360"/>
                <w:tab w:val="left" w:pos="540"/>
                <w:tab w:val="left" w:pos="630"/>
                <w:tab w:val="left" w:pos="1080"/>
              </w:tabs>
              <w:ind w:right="-108" w:hanging="108"/>
              <w:jc w:val="center"/>
              <w:rPr>
                <w:sz w:val="20"/>
              </w:rPr>
            </w:pPr>
          </w:p>
          <w:p w:rsidR="00152CB6" w:rsidRDefault="00152CB6" w:rsidP="004C58AD">
            <w:pPr>
              <w:pStyle w:val="BodyText"/>
              <w:tabs>
                <w:tab w:val="left" w:pos="360"/>
                <w:tab w:val="left" w:pos="540"/>
                <w:tab w:val="left" w:pos="630"/>
                <w:tab w:val="left" w:pos="1080"/>
              </w:tabs>
              <w:ind w:right="-108" w:hanging="108"/>
              <w:jc w:val="center"/>
              <w:rPr>
                <w:sz w:val="20"/>
              </w:rPr>
            </w:pPr>
          </w:p>
          <w:p w:rsidR="00152CB6" w:rsidRPr="005D79A7" w:rsidRDefault="00152CB6" w:rsidP="004C58AD">
            <w:pPr>
              <w:pStyle w:val="BodyText"/>
              <w:tabs>
                <w:tab w:val="left" w:pos="360"/>
                <w:tab w:val="left" w:pos="540"/>
                <w:tab w:val="left" w:pos="630"/>
                <w:tab w:val="left" w:pos="1080"/>
              </w:tabs>
              <w:ind w:right="-108" w:hanging="108"/>
              <w:jc w:val="center"/>
              <w:rPr>
                <w:sz w:val="20"/>
              </w:rPr>
            </w:pPr>
            <w:r w:rsidRPr="005D79A7">
              <w:rPr>
                <w:sz w:val="20"/>
              </w:rPr>
              <w:t>1</w:t>
            </w:r>
            <w:r>
              <w:rPr>
                <w:sz w:val="20"/>
              </w:rPr>
              <w:t>6</w:t>
            </w:r>
            <w:r w:rsidRPr="005D79A7">
              <w:rPr>
                <w:sz w:val="20"/>
              </w:rPr>
              <w:t>.9</w:t>
            </w:r>
            <w:r>
              <w:rPr>
                <w:sz w:val="20"/>
              </w:rPr>
              <w:t>6</w:t>
            </w:r>
          </w:p>
        </w:tc>
        <w:tc>
          <w:tcPr>
            <w:tcW w:w="1170" w:type="dxa"/>
            <w:tcBorders>
              <w:left w:val="single" w:sz="4" w:space="0" w:color="auto"/>
              <w:right w:val="single" w:sz="4" w:space="0" w:color="auto"/>
            </w:tcBorders>
            <w:shd w:val="clear" w:color="auto" w:fill="auto"/>
          </w:tcPr>
          <w:p w:rsidR="00152CB6" w:rsidRDefault="00152CB6" w:rsidP="004665D1">
            <w:pPr>
              <w:pStyle w:val="BodyText"/>
              <w:tabs>
                <w:tab w:val="left" w:pos="360"/>
                <w:tab w:val="left" w:pos="540"/>
                <w:tab w:val="left" w:pos="630"/>
                <w:tab w:val="left" w:pos="1080"/>
              </w:tabs>
              <w:ind w:right="-108" w:hanging="108"/>
              <w:jc w:val="center"/>
              <w:rPr>
                <w:b/>
                <w:sz w:val="20"/>
              </w:rPr>
            </w:pPr>
          </w:p>
          <w:p w:rsidR="00152CB6" w:rsidRDefault="00152CB6" w:rsidP="004665D1">
            <w:pPr>
              <w:pStyle w:val="BodyText"/>
              <w:tabs>
                <w:tab w:val="left" w:pos="360"/>
                <w:tab w:val="left" w:pos="540"/>
                <w:tab w:val="left" w:pos="630"/>
                <w:tab w:val="left" w:pos="1080"/>
              </w:tabs>
              <w:ind w:right="-108" w:hanging="108"/>
              <w:jc w:val="center"/>
              <w:rPr>
                <w:b/>
                <w:sz w:val="20"/>
              </w:rPr>
            </w:pPr>
            <w:r w:rsidRPr="005D79A7">
              <w:rPr>
                <w:b/>
                <w:sz w:val="20"/>
              </w:rPr>
              <w:t xml:space="preserve"> </w:t>
            </w:r>
          </w:p>
          <w:p w:rsidR="00152CB6" w:rsidRPr="005D79A7" w:rsidRDefault="00152CB6" w:rsidP="004665D1">
            <w:pPr>
              <w:pStyle w:val="BodyText"/>
              <w:tabs>
                <w:tab w:val="left" w:pos="360"/>
                <w:tab w:val="left" w:pos="540"/>
                <w:tab w:val="left" w:pos="630"/>
                <w:tab w:val="left" w:pos="1080"/>
              </w:tabs>
              <w:ind w:right="-108" w:hanging="108"/>
              <w:jc w:val="center"/>
              <w:rPr>
                <w:b/>
                <w:sz w:val="20"/>
              </w:rPr>
            </w:pPr>
            <w:r w:rsidRPr="005D79A7">
              <w:rPr>
                <w:b/>
                <w:sz w:val="20"/>
              </w:rPr>
              <w:t xml:space="preserve"> (0.65)</w:t>
            </w:r>
          </w:p>
        </w:tc>
        <w:tc>
          <w:tcPr>
            <w:tcW w:w="1890" w:type="dxa"/>
            <w:tcBorders>
              <w:left w:val="single" w:sz="4" w:space="0" w:color="auto"/>
              <w:right w:val="single" w:sz="4" w:space="0" w:color="auto"/>
            </w:tcBorders>
          </w:tcPr>
          <w:p w:rsidR="00152CB6" w:rsidRDefault="00152CB6" w:rsidP="004C58AD">
            <w:pPr>
              <w:pStyle w:val="BodyText"/>
              <w:tabs>
                <w:tab w:val="left" w:pos="360"/>
                <w:tab w:val="left" w:pos="540"/>
                <w:tab w:val="left" w:pos="630"/>
                <w:tab w:val="left" w:pos="1080"/>
              </w:tabs>
              <w:ind w:right="-108" w:hanging="108"/>
              <w:jc w:val="center"/>
              <w:rPr>
                <w:sz w:val="20"/>
              </w:rPr>
            </w:pPr>
          </w:p>
          <w:p w:rsidR="00152CB6" w:rsidRDefault="00152CB6" w:rsidP="004C58AD">
            <w:pPr>
              <w:pStyle w:val="BodyText"/>
              <w:tabs>
                <w:tab w:val="left" w:pos="360"/>
                <w:tab w:val="left" w:pos="540"/>
                <w:tab w:val="left" w:pos="630"/>
                <w:tab w:val="left" w:pos="1080"/>
              </w:tabs>
              <w:ind w:right="-108" w:hanging="108"/>
              <w:jc w:val="center"/>
              <w:rPr>
                <w:sz w:val="20"/>
              </w:rPr>
            </w:pPr>
          </w:p>
          <w:p w:rsidR="00152CB6" w:rsidRPr="002614C3" w:rsidRDefault="00152CB6" w:rsidP="004C58AD">
            <w:pPr>
              <w:pStyle w:val="BodyText"/>
              <w:tabs>
                <w:tab w:val="left" w:pos="360"/>
                <w:tab w:val="left" w:pos="540"/>
                <w:tab w:val="left" w:pos="630"/>
                <w:tab w:val="left" w:pos="1080"/>
              </w:tabs>
              <w:ind w:right="-108" w:hanging="108"/>
              <w:jc w:val="center"/>
              <w:rPr>
                <w:sz w:val="20"/>
              </w:rPr>
            </w:pPr>
            <w:r w:rsidRPr="002614C3">
              <w:rPr>
                <w:sz w:val="20"/>
              </w:rPr>
              <w:t>1</w:t>
            </w:r>
            <w:r>
              <w:rPr>
                <w:sz w:val="20"/>
              </w:rPr>
              <w:t>8</w:t>
            </w:r>
            <w:r w:rsidRPr="002614C3">
              <w:rPr>
                <w:sz w:val="20"/>
              </w:rPr>
              <w:t>.3</w:t>
            </w:r>
            <w:r>
              <w:rPr>
                <w:sz w:val="20"/>
              </w:rPr>
              <w:t>3</w:t>
            </w:r>
          </w:p>
        </w:tc>
      </w:tr>
      <w:tr w:rsidR="00152CB6" w:rsidTr="004C6F99">
        <w:tc>
          <w:tcPr>
            <w:tcW w:w="1980" w:type="dxa"/>
            <w:tcBorders>
              <w:right w:val="single" w:sz="4" w:space="0" w:color="auto"/>
            </w:tcBorders>
          </w:tcPr>
          <w:p w:rsidR="00152CB6" w:rsidRPr="00EE4D71" w:rsidRDefault="00152CB6" w:rsidP="00EE0622">
            <w:pPr>
              <w:pStyle w:val="BodyText"/>
              <w:numPr>
                <w:ilvl w:val="0"/>
                <w:numId w:val="3"/>
              </w:numPr>
              <w:tabs>
                <w:tab w:val="left" w:pos="360"/>
                <w:tab w:val="left" w:pos="540"/>
                <w:tab w:val="left" w:pos="630"/>
                <w:tab w:val="left" w:pos="1080"/>
              </w:tabs>
              <w:ind w:right="-108"/>
              <w:jc w:val="left"/>
              <w:rPr>
                <w:sz w:val="20"/>
              </w:rPr>
            </w:pPr>
            <w:r>
              <w:rPr>
                <w:sz w:val="20"/>
              </w:rPr>
              <w:t xml:space="preserve"> from continuing operations</w:t>
            </w:r>
          </w:p>
        </w:tc>
        <w:tc>
          <w:tcPr>
            <w:tcW w:w="1170" w:type="dxa"/>
            <w:tcBorders>
              <w:left w:val="single" w:sz="4" w:space="0" w:color="auto"/>
              <w:right w:val="single" w:sz="4" w:space="0" w:color="auto"/>
            </w:tcBorders>
            <w:shd w:val="clear" w:color="auto" w:fill="auto"/>
          </w:tcPr>
          <w:p w:rsidR="00152CB6" w:rsidRDefault="00152CB6" w:rsidP="004C6F99">
            <w:pPr>
              <w:pStyle w:val="BodyText"/>
              <w:tabs>
                <w:tab w:val="left" w:pos="360"/>
                <w:tab w:val="left" w:pos="540"/>
                <w:tab w:val="left" w:pos="630"/>
                <w:tab w:val="left" w:pos="1080"/>
              </w:tabs>
              <w:ind w:right="-108" w:hanging="108"/>
              <w:jc w:val="center"/>
              <w:rPr>
                <w:b/>
                <w:sz w:val="20"/>
              </w:rPr>
            </w:pPr>
            <w:r w:rsidRPr="005D79A7">
              <w:rPr>
                <w:b/>
                <w:sz w:val="20"/>
              </w:rPr>
              <w:t xml:space="preserve">  </w:t>
            </w:r>
          </w:p>
          <w:p w:rsidR="00152CB6" w:rsidRPr="005D79A7" w:rsidRDefault="00152CB6" w:rsidP="00FD7DD4">
            <w:pPr>
              <w:pStyle w:val="BodyText"/>
              <w:tabs>
                <w:tab w:val="left" w:pos="360"/>
                <w:tab w:val="left" w:pos="540"/>
                <w:tab w:val="left" w:pos="630"/>
                <w:tab w:val="left" w:pos="1080"/>
              </w:tabs>
              <w:ind w:right="-108" w:hanging="108"/>
              <w:jc w:val="center"/>
              <w:rPr>
                <w:b/>
                <w:sz w:val="20"/>
              </w:rPr>
            </w:pPr>
            <w:r>
              <w:rPr>
                <w:b/>
                <w:sz w:val="20"/>
              </w:rPr>
              <w:t>(0.9</w:t>
            </w:r>
            <w:r w:rsidR="00FD7DD4">
              <w:rPr>
                <w:b/>
                <w:sz w:val="20"/>
              </w:rPr>
              <w:t>2</w:t>
            </w:r>
            <w:r>
              <w:rPr>
                <w:b/>
                <w:sz w:val="20"/>
              </w:rPr>
              <w:t>)</w:t>
            </w:r>
          </w:p>
        </w:tc>
        <w:tc>
          <w:tcPr>
            <w:tcW w:w="1890" w:type="dxa"/>
            <w:tcBorders>
              <w:left w:val="single" w:sz="4" w:space="0" w:color="auto"/>
              <w:right w:val="single" w:sz="4" w:space="0" w:color="auto"/>
            </w:tcBorders>
            <w:shd w:val="clear" w:color="auto" w:fill="auto"/>
          </w:tcPr>
          <w:p w:rsidR="00152CB6" w:rsidRDefault="00152CB6" w:rsidP="004C6F99">
            <w:pPr>
              <w:pStyle w:val="BodyText"/>
              <w:tabs>
                <w:tab w:val="left" w:pos="360"/>
                <w:tab w:val="left" w:pos="540"/>
                <w:tab w:val="left" w:pos="630"/>
                <w:tab w:val="left" w:pos="1080"/>
              </w:tabs>
              <w:ind w:right="-108" w:hanging="108"/>
              <w:jc w:val="center"/>
              <w:rPr>
                <w:sz w:val="20"/>
              </w:rPr>
            </w:pPr>
          </w:p>
          <w:p w:rsidR="00152CB6" w:rsidRPr="005D79A7" w:rsidRDefault="00152CB6" w:rsidP="004C6F99">
            <w:pPr>
              <w:pStyle w:val="BodyText"/>
              <w:tabs>
                <w:tab w:val="left" w:pos="360"/>
                <w:tab w:val="left" w:pos="540"/>
                <w:tab w:val="left" w:pos="630"/>
                <w:tab w:val="left" w:pos="1080"/>
              </w:tabs>
              <w:ind w:right="-108" w:hanging="108"/>
              <w:jc w:val="center"/>
              <w:rPr>
                <w:sz w:val="20"/>
              </w:rPr>
            </w:pPr>
            <w:r>
              <w:rPr>
                <w:sz w:val="20"/>
              </w:rPr>
              <w:t>15.39</w:t>
            </w:r>
          </w:p>
        </w:tc>
        <w:tc>
          <w:tcPr>
            <w:tcW w:w="1170" w:type="dxa"/>
            <w:tcBorders>
              <w:left w:val="single" w:sz="4" w:space="0" w:color="auto"/>
              <w:right w:val="single" w:sz="4" w:space="0" w:color="auto"/>
            </w:tcBorders>
            <w:shd w:val="clear" w:color="auto" w:fill="auto"/>
          </w:tcPr>
          <w:p w:rsidR="00152CB6" w:rsidRDefault="00152CB6" w:rsidP="004C6F99">
            <w:pPr>
              <w:pStyle w:val="BodyText"/>
              <w:tabs>
                <w:tab w:val="left" w:pos="360"/>
                <w:tab w:val="left" w:pos="540"/>
                <w:tab w:val="left" w:pos="630"/>
                <w:tab w:val="left" w:pos="1080"/>
              </w:tabs>
              <w:ind w:right="-108" w:hanging="108"/>
              <w:jc w:val="center"/>
              <w:rPr>
                <w:b/>
                <w:sz w:val="20"/>
              </w:rPr>
            </w:pPr>
          </w:p>
          <w:p w:rsidR="00152CB6" w:rsidRPr="005D79A7" w:rsidRDefault="00152CB6" w:rsidP="004C6F99">
            <w:pPr>
              <w:pStyle w:val="BodyText"/>
              <w:tabs>
                <w:tab w:val="left" w:pos="360"/>
                <w:tab w:val="left" w:pos="540"/>
                <w:tab w:val="left" w:pos="630"/>
                <w:tab w:val="left" w:pos="1080"/>
              </w:tabs>
              <w:ind w:right="-108" w:hanging="108"/>
              <w:jc w:val="center"/>
              <w:rPr>
                <w:b/>
                <w:sz w:val="20"/>
              </w:rPr>
            </w:pPr>
            <w:r w:rsidRPr="005D79A7">
              <w:rPr>
                <w:b/>
                <w:sz w:val="20"/>
              </w:rPr>
              <w:t xml:space="preserve">  (</w:t>
            </w:r>
            <w:r>
              <w:rPr>
                <w:b/>
                <w:sz w:val="20"/>
              </w:rPr>
              <w:t>4.80</w:t>
            </w:r>
            <w:r w:rsidRPr="005D79A7">
              <w:rPr>
                <w:b/>
                <w:sz w:val="20"/>
              </w:rPr>
              <w:t>)</w:t>
            </w:r>
          </w:p>
        </w:tc>
        <w:tc>
          <w:tcPr>
            <w:tcW w:w="1890" w:type="dxa"/>
            <w:tcBorders>
              <w:left w:val="single" w:sz="4" w:space="0" w:color="auto"/>
              <w:right w:val="single" w:sz="4" w:space="0" w:color="auto"/>
            </w:tcBorders>
          </w:tcPr>
          <w:p w:rsidR="00152CB6" w:rsidRDefault="00152CB6" w:rsidP="004C6F99">
            <w:pPr>
              <w:pStyle w:val="BodyText"/>
              <w:tabs>
                <w:tab w:val="left" w:pos="360"/>
                <w:tab w:val="left" w:pos="540"/>
                <w:tab w:val="left" w:pos="630"/>
                <w:tab w:val="left" w:pos="1080"/>
              </w:tabs>
              <w:ind w:right="-108" w:hanging="108"/>
              <w:jc w:val="center"/>
              <w:rPr>
                <w:sz w:val="20"/>
              </w:rPr>
            </w:pPr>
          </w:p>
          <w:p w:rsidR="00152CB6" w:rsidRPr="002614C3" w:rsidRDefault="00152CB6" w:rsidP="00FD7DD4">
            <w:pPr>
              <w:pStyle w:val="BodyText"/>
              <w:tabs>
                <w:tab w:val="left" w:pos="360"/>
                <w:tab w:val="left" w:pos="540"/>
                <w:tab w:val="left" w:pos="630"/>
                <w:tab w:val="left" w:pos="1080"/>
              </w:tabs>
              <w:ind w:right="-108" w:hanging="108"/>
              <w:jc w:val="center"/>
              <w:rPr>
                <w:sz w:val="20"/>
              </w:rPr>
            </w:pPr>
            <w:r w:rsidRPr="002614C3">
              <w:rPr>
                <w:sz w:val="20"/>
              </w:rPr>
              <w:t>1</w:t>
            </w:r>
            <w:r>
              <w:rPr>
                <w:sz w:val="20"/>
              </w:rPr>
              <w:t>4.9</w:t>
            </w:r>
            <w:r w:rsidR="00FD7DD4">
              <w:rPr>
                <w:sz w:val="20"/>
              </w:rPr>
              <w:t>7</w:t>
            </w:r>
          </w:p>
        </w:tc>
      </w:tr>
      <w:tr w:rsidR="00152CB6">
        <w:tc>
          <w:tcPr>
            <w:tcW w:w="1980" w:type="dxa"/>
            <w:tcBorders>
              <w:right w:val="single" w:sz="4" w:space="0" w:color="auto"/>
            </w:tcBorders>
          </w:tcPr>
          <w:p w:rsidR="00152CB6" w:rsidRPr="00EE4D71" w:rsidRDefault="00152CB6" w:rsidP="009A4995">
            <w:pPr>
              <w:pStyle w:val="BodyText"/>
              <w:numPr>
                <w:ilvl w:val="0"/>
                <w:numId w:val="3"/>
              </w:numPr>
              <w:tabs>
                <w:tab w:val="left" w:pos="360"/>
                <w:tab w:val="left" w:pos="540"/>
                <w:tab w:val="left" w:pos="630"/>
                <w:tab w:val="left" w:pos="1080"/>
              </w:tabs>
              <w:ind w:right="-108"/>
              <w:jc w:val="left"/>
              <w:rPr>
                <w:sz w:val="20"/>
              </w:rPr>
            </w:pPr>
            <w:r>
              <w:rPr>
                <w:sz w:val="20"/>
              </w:rPr>
              <w:t xml:space="preserve">from </w:t>
            </w:r>
            <w:r w:rsidR="00B102AF">
              <w:rPr>
                <w:sz w:val="20"/>
              </w:rPr>
              <w:t>dis</w:t>
            </w:r>
            <w:r>
              <w:rPr>
                <w:sz w:val="20"/>
              </w:rPr>
              <w:t>continu</w:t>
            </w:r>
            <w:r w:rsidR="009A4995">
              <w:rPr>
                <w:sz w:val="20"/>
              </w:rPr>
              <w:t>ed</w:t>
            </w:r>
            <w:r>
              <w:rPr>
                <w:sz w:val="20"/>
              </w:rPr>
              <w:t xml:space="preserve"> operations</w:t>
            </w:r>
          </w:p>
        </w:tc>
        <w:tc>
          <w:tcPr>
            <w:tcW w:w="1170" w:type="dxa"/>
            <w:tcBorders>
              <w:left w:val="single" w:sz="4" w:space="0" w:color="auto"/>
              <w:bottom w:val="single" w:sz="4" w:space="0" w:color="auto"/>
              <w:right w:val="single" w:sz="4" w:space="0" w:color="auto"/>
            </w:tcBorders>
            <w:shd w:val="clear" w:color="auto" w:fill="auto"/>
          </w:tcPr>
          <w:p w:rsidR="00152CB6" w:rsidRDefault="00152CB6" w:rsidP="005D79A7">
            <w:pPr>
              <w:pStyle w:val="BodyText"/>
              <w:tabs>
                <w:tab w:val="left" w:pos="360"/>
                <w:tab w:val="left" w:pos="540"/>
                <w:tab w:val="left" w:pos="630"/>
                <w:tab w:val="left" w:pos="1080"/>
              </w:tabs>
              <w:ind w:right="-108" w:hanging="108"/>
              <w:jc w:val="center"/>
              <w:rPr>
                <w:b/>
                <w:sz w:val="20"/>
              </w:rPr>
            </w:pPr>
          </w:p>
          <w:p w:rsidR="00B102AF" w:rsidRDefault="00B102AF" w:rsidP="005D79A7">
            <w:pPr>
              <w:pStyle w:val="BodyText"/>
              <w:tabs>
                <w:tab w:val="left" w:pos="360"/>
                <w:tab w:val="left" w:pos="540"/>
                <w:tab w:val="left" w:pos="630"/>
                <w:tab w:val="left" w:pos="1080"/>
              </w:tabs>
              <w:ind w:right="-108" w:hanging="108"/>
              <w:jc w:val="center"/>
              <w:rPr>
                <w:b/>
                <w:sz w:val="20"/>
              </w:rPr>
            </w:pPr>
          </w:p>
          <w:p w:rsidR="00152CB6" w:rsidRPr="005D79A7" w:rsidRDefault="00152CB6" w:rsidP="005D79A7">
            <w:pPr>
              <w:pStyle w:val="BodyText"/>
              <w:tabs>
                <w:tab w:val="left" w:pos="360"/>
                <w:tab w:val="left" w:pos="540"/>
                <w:tab w:val="left" w:pos="630"/>
                <w:tab w:val="left" w:pos="1080"/>
              </w:tabs>
              <w:ind w:right="-108" w:hanging="108"/>
              <w:jc w:val="center"/>
              <w:rPr>
                <w:b/>
                <w:sz w:val="20"/>
              </w:rPr>
            </w:pPr>
            <w:r>
              <w:rPr>
                <w:b/>
                <w:sz w:val="20"/>
              </w:rPr>
              <w:t>2.13</w:t>
            </w:r>
          </w:p>
        </w:tc>
        <w:tc>
          <w:tcPr>
            <w:tcW w:w="1890" w:type="dxa"/>
            <w:tcBorders>
              <w:left w:val="single" w:sz="4" w:space="0" w:color="auto"/>
              <w:bottom w:val="single" w:sz="4" w:space="0" w:color="auto"/>
              <w:right w:val="single" w:sz="4" w:space="0" w:color="auto"/>
            </w:tcBorders>
            <w:shd w:val="clear" w:color="auto" w:fill="auto"/>
          </w:tcPr>
          <w:p w:rsidR="00152CB6" w:rsidRDefault="00152CB6" w:rsidP="004C58AD">
            <w:pPr>
              <w:pStyle w:val="BodyText"/>
              <w:tabs>
                <w:tab w:val="left" w:pos="360"/>
                <w:tab w:val="left" w:pos="540"/>
                <w:tab w:val="left" w:pos="630"/>
                <w:tab w:val="left" w:pos="1080"/>
              </w:tabs>
              <w:ind w:right="-108" w:hanging="108"/>
              <w:jc w:val="center"/>
              <w:rPr>
                <w:sz w:val="20"/>
              </w:rPr>
            </w:pPr>
          </w:p>
          <w:p w:rsidR="00B102AF" w:rsidRDefault="00B102AF" w:rsidP="004C58AD">
            <w:pPr>
              <w:pStyle w:val="BodyText"/>
              <w:tabs>
                <w:tab w:val="left" w:pos="360"/>
                <w:tab w:val="left" w:pos="540"/>
                <w:tab w:val="left" w:pos="630"/>
                <w:tab w:val="left" w:pos="1080"/>
              </w:tabs>
              <w:ind w:right="-108" w:hanging="108"/>
              <w:jc w:val="center"/>
              <w:rPr>
                <w:sz w:val="20"/>
              </w:rPr>
            </w:pPr>
          </w:p>
          <w:p w:rsidR="00152CB6" w:rsidRPr="005D79A7" w:rsidRDefault="00152CB6" w:rsidP="004C58AD">
            <w:pPr>
              <w:pStyle w:val="BodyText"/>
              <w:tabs>
                <w:tab w:val="left" w:pos="360"/>
                <w:tab w:val="left" w:pos="540"/>
                <w:tab w:val="left" w:pos="630"/>
                <w:tab w:val="left" w:pos="1080"/>
              </w:tabs>
              <w:ind w:right="-108" w:hanging="108"/>
              <w:jc w:val="center"/>
              <w:rPr>
                <w:sz w:val="20"/>
              </w:rPr>
            </w:pPr>
            <w:r>
              <w:rPr>
                <w:sz w:val="20"/>
              </w:rPr>
              <w:t xml:space="preserve"> 1.57</w:t>
            </w:r>
          </w:p>
        </w:tc>
        <w:tc>
          <w:tcPr>
            <w:tcW w:w="1170" w:type="dxa"/>
            <w:tcBorders>
              <w:left w:val="single" w:sz="4" w:space="0" w:color="auto"/>
              <w:bottom w:val="single" w:sz="4" w:space="0" w:color="auto"/>
              <w:right w:val="single" w:sz="4" w:space="0" w:color="auto"/>
            </w:tcBorders>
            <w:shd w:val="clear" w:color="auto" w:fill="auto"/>
          </w:tcPr>
          <w:p w:rsidR="00152CB6" w:rsidRDefault="00152CB6" w:rsidP="004665D1">
            <w:pPr>
              <w:pStyle w:val="BodyText"/>
              <w:tabs>
                <w:tab w:val="left" w:pos="360"/>
                <w:tab w:val="left" w:pos="540"/>
                <w:tab w:val="left" w:pos="630"/>
                <w:tab w:val="left" w:pos="1080"/>
              </w:tabs>
              <w:ind w:right="-108" w:hanging="108"/>
              <w:jc w:val="center"/>
              <w:rPr>
                <w:b/>
                <w:sz w:val="20"/>
              </w:rPr>
            </w:pPr>
          </w:p>
          <w:p w:rsidR="00B102AF" w:rsidRDefault="00B102AF" w:rsidP="004665D1">
            <w:pPr>
              <w:pStyle w:val="BodyText"/>
              <w:tabs>
                <w:tab w:val="left" w:pos="360"/>
                <w:tab w:val="left" w:pos="540"/>
                <w:tab w:val="left" w:pos="630"/>
                <w:tab w:val="left" w:pos="1080"/>
              </w:tabs>
              <w:ind w:right="-108" w:hanging="108"/>
              <w:jc w:val="center"/>
              <w:rPr>
                <w:b/>
                <w:sz w:val="20"/>
              </w:rPr>
            </w:pPr>
          </w:p>
          <w:p w:rsidR="00152CB6" w:rsidRPr="005D79A7" w:rsidRDefault="00152CB6" w:rsidP="004665D1">
            <w:pPr>
              <w:pStyle w:val="BodyText"/>
              <w:tabs>
                <w:tab w:val="left" w:pos="360"/>
                <w:tab w:val="left" w:pos="540"/>
                <w:tab w:val="left" w:pos="630"/>
                <w:tab w:val="left" w:pos="1080"/>
              </w:tabs>
              <w:ind w:right="-108" w:hanging="108"/>
              <w:jc w:val="center"/>
              <w:rPr>
                <w:b/>
                <w:sz w:val="20"/>
              </w:rPr>
            </w:pPr>
            <w:r>
              <w:rPr>
                <w:b/>
                <w:sz w:val="20"/>
              </w:rPr>
              <w:t xml:space="preserve">  4.15</w:t>
            </w:r>
          </w:p>
        </w:tc>
        <w:tc>
          <w:tcPr>
            <w:tcW w:w="1890" w:type="dxa"/>
            <w:tcBorders>
              <w:left w:val="single" w:sz="4" w:space="0" w:color="auto"/>
              <w:bottom w:val="single" w:sz="4" w:space="0" w:color="auto"/>
              <w:right w:val="single" w:sz="4" w:space="0" w:color="auto"/>
            </w:tcBorders>
          </w:tcPr>
          <w:p w:rsidR="00152CB6" w:rsidRDefault="00152CB6" w:rsidP="004C58AD">
            <w:pPr>
              <w:pStyle w:val="BodyText"/>
              <w:tabs>
                <w:tab w:val="left" w:pos="360"/>
                <w:tab w:val="left" w:pos="540"/>
                <w:tab w:val="left" w:pos="630"/>
                <w:tab w:val="left" w:pos="1080"/>
              </w:tabs>
              <w:ind w:right="-108" w:hanging="108"/>
              <w:jc w:val="center"/>
              <w:rPr>
                <w:sz w:val="20"/>
              </w:rPr>
            </w:pPr>
          </w:p>
          <w:p w:rsidR="00B102AF" w:rsidRDefault="00B102AF" w:rsidP="004C58AD">
            <w:pPr>
              <w:pStyle w:val="BodyText"/>
              <w:tabs>
                <w:tab w:val="left" w:pos="360"/>
                <w:tab w:val="left" w:pos="540"/>
                <w:tab w:val="left" w:pos="630"/>
                <w:tab w:val="left" w:pos="1080"/>
              </w:tabs>
              <w:ind w:right="-108" w:hanging="108"/>
              <w:jc w:val="center"/>
              <w:rPr>
                <w:sz w:val="20"/>
              </w:rPr>
            </w:pPr>
          </w:p>
          <w:p w:rsidR="00152CB6" w:rsidRPr="002614C3" w:rsidRDefault="00152CB6" w:rsidP="004C58AD">
            <w:pPr>
              <w:pStyle w:val="BodyText"/>
              <w:tabs>
                <w:tab w:val="left" w:pos="360"/>
                <w:tab w:val="left" w:pos="540"/>
                <w:tab w:val="left" w:pos="630"/>
                <w:tab w:val="left" w:pos="1080"/>
              </w:tabs>
              <w:ind w:right="-108" w:hanging="108"/>
              <w:jc w:val="center"/>
              <w:rPr>
                <w:sz w:val="20"/>
              </w:rPr>
            </w:pPr>
            <w:r>
              <w:rPr>
                <w:sz w:val="20"/>
              </w:rPr>
              <w:t xml:space="preserve">  3.36</w:t>
            </w:r>
          </w:p>
        </w:tc>
      </w:tr>
    </w:tbl>
    <w:p w:rsidR="00ED6FE8" w:rsidRDefault="00462395" w:rsidP="00491580">
      <w:pPr>
        <w:pStyle w:val="BodyText"/>
        <w:tabs>
          <w:tab w:val="left" w:pos="540"/>
          <w:tab w:val="left" w:pos="630"/>
          <w:tab w:val="left" w:pos="990"/>
        </w:tabs>
        <w:ind w:left="720" w:right="-450" w:hanging="1800"/>
        <w:rPr>
          <w:b/>
          <w:sz w:val="20"/>
        </w:rPr>
      </w:pPr>
      <w:r>
        <w:rPr>
          <w:b/>
          <w:sz w:val="20"/>
        </w:rPr>
        <w:tab/>
      </w:r>
    </w:p>
    <w:p w:rsidR="00E44530" w:rsidRDefault="00E44530" w:rsidP="00491580">
      <w:pPr>
        <w:pStyle w:val="BodyText"/>
        <w:tabs>
          <w:tab w:val="left" w:pos="540"/>
          <w:tab w:val="left" w:pos="630"/>
          <w:tab w:val="left" w:pos="990"/>
        </w:tabs>
        <w:ind w:left="720" w:right="-450" w:hanging="1800"/>
        <w:rPr>
          <w:b/>
          <w:sz w:val="20"/>
        </w:rPr>
      </w:pPr>
    </w:p>
    <w:p w:rsidR="00E44530" w:rsidRDefault="00E44530" w:rsidP="00491580">
      <w:pPr>
        <w:pStyle w:val="BodyText"/>
        <w:tabs>
          <w:tab w:val="left" w:pos="540"/>
          <w:tab w:val="left" w:pos="630"/>
          <w:tab w:val="left" w:pos="990"/>
        </w:tabs>
        <w:ind w:left="720" w:right="-450" w:hanging="1800"/>
        <w:rPr>
          <w:b/>
          <w:sz w:val="20"/>
        </w:rPr>
      </w:pPr>
    </w:p>
    <w:p w:rsidR="0059386B" w:rsidRPr="002E0140" w:rsidRDefault="00462395" w:rsidP="00491580">
      <w:pPr>
        <w:pStyle w:val="BodyText"/>
        <w:tabs>
          <w:tab w:val="left" w:pos="540"/>
          <w:tab w:val="left" w:pos="630"/>
          <w:tab w:val="left" w:pos="990"/>
        </w:tabs>
        <w:ind w:left="720" w:right="-450" w:hanging="1800"/>
        <w:rPr>
          <w:sz w:val="20"/>
        </w:rPr>
      </w:pPr>
      <w:r>
        <w:rPr>
          <w:b/>
          <w:sz w:val="20"/>
        </w:rPr>
        <w:tab/>
      </w:r>
      <w:r w:rsidR="006319B0">
        <w:rPr>
          <w:b/>
          <w:sz w:val="20"/>
        </w:rPr>
        <w:t xml:space="preserve">(b) </w:t>
      </w:r>
      <w:r w:rsidR="0059386B">
        <w:rPr>
          <w:b/>
          <w:sz w:val="20"/>
        </w:rPr>
        <w:t xml:space="preserve"> </w:t>
      </w:r>
      <w:r>
        <w:rPr>
          <w:b/>
          <w:sz w:val="20"/>
        </w:rPr>
        <w:tab/>
      </w:r>
      <w:r w:rsidR="007830AB">
        <w:rPr>
          <w:b/>
          <w:sz w:val="20"/>
        </w:rPr>
        <w:t xml:space="preserve">  </w:t>
      </w:r>
      <w:r w:rsidR="0059386B">
        <w:rPr>
          <w:b/>
          <w:sz w:val="20"/>
        </w:rPr>
        <w:t>Diluted</w:t>
      </w:r>
    </w:p>
    <w:p w:rsidR="001079BE" w:rsidRDefault="001079BE" w:rsidP="00491580">
      <w:pPr>
        <w:pStyle w:val="BodyText"/>
        <w:tabs>
          <w:tab w:val="left" w:pos="540"/>
          <w:tab w:val="left" w:pos="630"/>
          <w:tab w:val="left" w:pos="1080"/>
        </w:tabs>
        <w:ind w:left="1080" w:right="-450" w:hanging="1800"/>
        <w:rPr>
          <w:sz w:val="20"/>
        </w:rPr>
      </w:pPr>
    </w:p>
    <w:p w:rsidR="00BC67B6" w:rsidRDefault="00462395" w:rsidP="00B13259">
      <w:pPr>
        <w:pStyle w:val="BodyText"/>
        <w:tabs>
          <w:tab w:val="left" w:pos="540"/>
          <w:tab w:val="left" w:pos="630"/>
          <w:tab w:val="left" w:pos="1080"/>
        </w:tabs>
        <w:ind w:left="1080" w:right="270" w:hanging="90"/>
        <w:rPr>
          <w:sz w:val="20"/>
        </w:rPr>
      </w:pPr>
      <w:r>
        <w:rPr>
          <w:sz w:val="20"/>
        </w:rPr>
        <w:tab/>
      </w:r>
      <w:r w:rsidR="0059386B">
        <w:rPr>
          <w:sz w:val="20"/>
        </w:rPr>
        <w:t xml:space="preserve">For the purpose of calculating </w:t>
      </w:r>
      <w:r w:rsidR="0059386B" w:rsidRPr="00EE4D71">
        <w:rPr>
          <w:sz w:val="20"/>
        </w:rPr>
        <w:t>the diluted earnings</w:t>
      </w:r>
      <w:r w:rsidR="00315535">
        <w:rPr>
          <w:sz w:val="20"/>
        </w:rPr>
        <w:t xml:space="preserve"> or loss</w:t>
      </w:r>
      <w:r w:rsidR="0059386B" w:rsidRPr="00EE4D71">
        <w:rPr>
          <w:sz w:val="20"/>
        </w:rPr>
        <w:t xml:space="preserve"> per share, the net profit for the </w:t>
      </w:r>
      <w:r w:rsidR="00D32291" w:rsidRPr="00EE4D71">
        <w:rPr>
          <w:sz w:val="20"/>
        </w:rPr>
        <w:t>periods under review</w:t>
      </w:r>
      <w:r w:rsidR="0059386B" w:rsidRPr="00EE4D71">
        <w:rPr>
          <w:sz w:val="20"/>
        </w:rPr>
        <w:t xml:space="preserve"> and the weighted average number of ordinary shares in issue during the </w:t>
      </w:r>
      <w:r w:rsidR="00D32291" w:rsidRPr="00EE4D71">
        <w:rPr>
          <w:sz w:val="20"/>
        </w:rPr>
        <w:t>same periods</w:t>
      </w:r>
      <w:r w:rsidR="0059386B" w:rsidRPr="00EE4D71">
        <w:rPr>
          <w:sz w:val="20"/>
        </w:rPr>
        <w:t xml:space="preserve"> have been adjusted for the dilutive effects of the potential </w:t>
      </w:r>
      <w:r w:rsidR="00652A1E" w:rsidRPr="00EE4D71">
        <w:rPr>
          <w:sz w:val="20"/>
        </w:rPr>
        <w:t xml:space="preserve">issue of new </w:t>
      </w:r>
      <w:r w:rsidR="0059386B" w:rsidRPr="00EE4D71">
        <w:rPr>
          <w:sz w:val="20"/>
        </w:rPr>
        <w:t xml:space="preserve">ordinary shares </w:t>
      </w:r>
      <w:r w:rsidR="00652A1E" w:rsidRPr="00EE4D71">
        <w:rPr>
          <w:sz w:val="20"/>
        </w:rPr>
        <w:t>on</w:t>
      </w:r>
      <w:r w:rsidR="0059386B" w:rsidRPr="00EE4D71">
        <w:rPr>
          <w:sz w:val="20"/>
        </w:rPr>
        <w:t xml:space="preserve"> conversion of the RCSLS</w:t>
      </w:r>
      <w:r w:rsidR="00B46406" w:rsidRPr="00EE4D71">
        <w:rPr>
          <w:sz w:val="20"/>
        </w:rPr>
        <w:t>.</w:t>
      </w:r>
      <w:r w:rsidR="0059386B" w:rsidRPr="00EE4D71">
        <w:rPr>
          <w:sz w:val="20"/>
        </w:rPr>
        <w:t xml:space="preserve"> </w:t>
      </w:r>
    </w:p>
    <w:p w:rsidR="009B772A" w:rsidRDefault="009B772A" w:rsidP="00B13259">
      <w:pPr>
        <w:pStyle w:val="BodyText"/>
        <w:tabs>
          <w:tab w:val="left" w:pos="540"/>
          <w:tab w:val="left" w:pos="630"/>
          <w:tab w:val="left" w:pos="1080"/>
        </w:tabs>
        <w:ind w:left="1080" w:right="270" w:hanging="90"/>
        <w:rPr>
          <w:sz w:val="20"/>
        </w:rPr>
      </w:pPr>
    </w:p>
    <w:p w:rsidR="009B772A" w:rsidRDefault="009B772A" w:rsidP="00B13259">
      <w:pPr>
        <w:pStyle w:val="BodyText"/>
        <w:tabs>
          <w:tab w:val="left" w:pos="540"/>
          <w:tab w:val="left" w:pos="630"/>
          <w:tab w:val="left" w:pos="1080"/>
        </w:tabs>
        <w:ind w:left="1080" w:right="270" w:hanging="90"/>
        <w:rPr>
          <w:sz w:val="20"/>
        </w:rPr>
      </w:pPr>
    </w:p>
    <w:p w:rsidR="009B772A" w:rsidRDefault="009B772A"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B51CA3" w:rsidRDefault="00B51CA3" w:rsidP="00B13259">
      <w:pPr>
        <w:pStyle w:val="BodyText"/>
        <w:tabs>
          <w:tab w:val="left" w:pos="540"/>
          <w:tab w:val="left" w:pos="630"/>
          <w:tab w:val="left" w:pos="1080"/>
        </w:tabs>
        <w:ind w:left="1080" w:right="270" w:hanging="90"/>
        <w:rPr>
          <w:sz w:val="20"/>
        </w:rPr>
      </w:pPr>
    </w:p>
    <w:p w:rsidR="009B772A" w:rsidRDefault="009B772A" w:rsidP="00B13259">
      <w:pPr>
        <w:pStyle w:val="BodyText"/>
        <w:tabs>
          <w:tab w:val="left" w:pos="540"/>
          <w:tab w:val="left" w:pos="630"/>
          <w:tab w:val="left" w:pos="1080"/>
        </w:tabs>
        <w:ind w:left="1080" w:right="270" w:hanging="90"/>
        <w:rPr>
          <w:sz w:val="20"/>
        </w:rPr>
      </w:pPr>
    </w:p>
    <w:p w:rsidR="009B772A" w:rsidRDefault="009B772A" w:rsidP="00B13259">
      <w:pPr>
        <w:pStyle w:val="BodyText"/>
        <w:tabs>
          <w:tab w:val="left" w:pos="540"/>
          <w:tab w:val="left" w:pos="630"/>
          <w:tab w:val="left" w:pos="1080"/>
        </w:tabs>
        <w:ind w:left="1080" w:right="270" w:hanging="90"/>
        <w:rPr>
          <w:sz w:val="20"/>
        </w:rPr>
      </w:pPr>
    </w:p>
    <w:p w:rsidR="00E40AF6" w:rsidRDefault="00E40AF6" w:rsidP="00B13259">
      <w:pPr>
        <w:pStyle w:val="BodyText"/>
        <w:tabs>
          <w:tab w:val="left" w:pos="540"/>
          <w:tab w:val="left" w:pos="630"/>
          <w:tab w:val="left" w:pos="1080"/>
        </w:tabs>
        <w:ind w:left="1080" w:right="270" w:hanging="90"/>
        <w:rPr>
          <w:sz w:val="20"/>
        </w:rPr>
      </w:pPr>
    </w:p>
    <w:p w:rsidR="00E40AF6" w:rsidRDefault="00E40AF6" w:rsidP="00B13259">
      <w:pPr>
        <w:pStyle w:val="BodyText"/>
        <w:tabs>
          <w:tab w:val="left" w:pos="540"/>
          <w:tab w:val="left" w:pos="630"/>
          <w:tab w:val="left" w:pos="1080"/>
        </w:tabs>
        <w:ind w:left="1080" w:right="270" w:hanging="90"/>
        <w:rPr>
          <w:sz w:val="20"/>
        </w:rPr>
      </w:pPr>
    </w:p>
    <w:p w:rsidR="009B772A" w:rsidRDefault="009B772A" w:rsidP="00B13259">
      <w:pPr>
        <w:pStyle w:val="BodyText"/>
        <w:tabs>
          <w:tab w:val="left" w:pos="540"/>
          <w:tab w:val="left" w:pos="630"/>
          <w:tab w:val="left" w:pos="1080"/>
        </w:tabs>
        <w:ind w:left="1080" w:right="270" w:hanging="90"/>
        <w:rPr>
          <w:sz w:val="20"/>
        </w:rPr>
      </w:pPr>
    </w:p>
    <w:p w:rsidR="00B102AF" w:rsidRDefault="00B102AF" w:rsidP="00B13259">
      <w:pPr>
        <w:pStyle w:val="BodyText"/>
        <w:tabs>
          <w:tab w:val="left" w:pos="540"/>
          <w:tab w:val="left" w:pos="630"/>
          <w:tab w:val="left" w:pos="1080"/>
        </w:tabs>
        <w:ind w:left="1080" w:right="270" w:hanging="90"/>
        <w:rPr>
          <w:sz w:val="20"/>
        </w:rPr>
      </w:pPr>
    </w:p>
    <w:p w:rsidR="00B102AF" w:rsidRDefault="00B102AF" w:rsidP="00B13259">
      <w:pPr>
        <w:pStyle w:val="BodyText"/>
        <w:tabs>
          <w:tab w:val="left" w:pos="540"/>
          <w:tab w:val="left" w:pos="630"/>
          <w:tab w:val="left" w:pos="1080"/>
        </w:tabs>
        <w:ind w:left="1080" w:right="270" w:hanging="90"/>
        <w:rPr>
          <w:sz w:val="20"/>
        </w:rPr>
      </w:pPr>
    </w:p>
    <w:tbl>
      <w:tblPr>
        <w:tblW w:w="8100" w:type="dxa"/>
        <w:tblInd w:w="1098" w:type="dxa"/>
        <w:tblLayout w:type="fixed"/>
        <w:tblLook w:val="0000"/>
      </w:tblPr>
      <w:tblGrid>
        <w:gridCol w:w="2070"/>
        <w:gridCol w:w="1170"/>
        <w:gridCol w:w="1890"/>
        <w:gridCol w:w="1170"/>
        <w:gridCol w:w="1800"/>
      </w:tblGrid>
      <w:tr w:rsidR="0059386B" w:rsidRPr="00EE4D71">
        <w:trPr>
          <w:cantSplit/>
        </w:trPr>
        <w:tc>
          <w:tcPr>
            <w:tcW w:w="2070" w:type="dxa"/>
          </w:tcPr>
          <w:p w:rsidR="0059386B" w:rsidRPr="00EE4D71"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EE4D71" w:rsidRDefault="0059386B" w:rsidP="00462395">
            <w:pPr>
              <w:pStyle w:val="BodyText"/>
              <w:tabs>
                <w:tab w:val="left" w:pos="360"/>
                <w:tab w:val="left" w:pos="540"/>
                <w:tab w:val="left" w:pos="630"/>
                <w:tab w:val="left" w:pos="1080"/>
              </w:tabs>
              <w:ind w:right="-450" w:hanging="108"/>
              <w:jc w:val="center"/>
              <w:rPr>
                <w:b/>
                <w:sz w:val="18"/>
              </w:rPr>
            </w:pPr>
            <w:r w:rsidRPr="00EE4D71">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Pr="00EE4D71" w:rsidRDefault="0059386B" w:rsidP="00462395">
            <w:pPr>
              <w:pStyle w:val="BodyText"/>
              <w:tabs>
                <w:tab w:val="left" w:pos="360"/>
                <w:tab w:val="left" w:pos="540"/>
                <w:tab w:val="left" w:pos="630"/>
                <w:tab w:val="left" w:pos="1080"/>
              </w:tabs>
              <w:ind w:right="-450" w:hanging="108"/>
              <w:jc w:val="center"/>
              <w:rPr>
                <w:b/>
                <w:sz w:val="18"/>
              </w:rPr>
            </w:pPr>
            <w:r w:rsidRPr="00EE4D71">
              <w:rPr>
                <w:b/>
                <w:sz w:val="18"/>
              </w:rPr>
              <w:t>CUMULATIVE QUARTER</w:t>
            </w:r>
          </w:p>
        </w:tc>
      </w:tr>
      <w:tr w:rsidR="005F46D0" w:rsidRPr="00EE4D71">
        <w:tc>
          <w:tcPr>
            <w:tcW w:w="2070" w:type="dxa"/>
          </w:tcPr>
          <w:p w:rsidR="005F46D0" w:rsidRPr="00EE4D71" w:rsidRDefault="005F46D0"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CURRENT</w:t>
            </w:r>
          </w:p>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YEAR</w:t>
            </w:r>
          </w:p>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QUARTER</w:t>
            </w:r>
          </w:p>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3</w:t>
            </w:r>
            <w:r>
              <w:rPr>
                <w:b/>
                <w:sz w:val="18"/>
              </w:rPr>
              <w:t>0</w:t>
            </w:r>
            <w:r w:rsidRPr="00FE3ECC">
              <w:rPr>
                <w:b/>
                <w:sz w:val="18"/>
              </w:rPr>
              <w:t>/</w:t>
            </w:r>
            <w:r>
              <w:rPr>
                <w:b/>
                <w:sz w:val="18"/>
              </w:rPr>
              <w:t>6</w:t>
            </w:r>
            <w:r w:rsidRPr="00FE3ECC">
              <w:rPr>
                <w:b/>
                <w:sz w:val="18"/>
              </w:rPr>
              <w:t>/201</w:t>
            </w:r>
            <w:r>
              <w:rPr>
                <w:b/>
                <w:sz w:val="18"/>
              </w:rPr>
              <w:t>2</w:t>
            </w:r>
          </w:p>
        </w:tc>
        <w:tc>
          <w:tcPr>
            <w:tcW w:w="1890" w:type="dxa"/>
            <w:tcBorders>
              <w:top w:val="single" w:sz="4" w:space="0" w:color="auto"/>
              <w:left w:val="single" w:sz="4" w:space="0" w:color="auto"/>
              <w:bottom w:val="single" w:sz="4" w:space="0" w:color="auto"/>
              <w:right w:val="single" w:sz="4" w:space="0" w:color="auto"/>
            </w:tcBorders>
          </w:tcPr>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PRECEDING YEAR</w:t>
            </w:r>
          </w:p>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CORRESPONDING</w:t>
            </w:r>
          </w:p>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QUARTER</w:t>
            </w:r>
          </w:p>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3</w:t>
            </w:r>
            <w:r>
              <w:rPr>
                <w:b/>
                <w:sz w:val="18"/>
              </w:rPr>
              <w:t>0</w:t>
            </w:r>
            <w:r w:rsidRPr="00FE3ECC">
              <w:rPr>
                <w:b/>
                <w:sz w:val="18"/>
              </w:rPr>
              <w:t>/</w:t>
            </w:r>
            <w:r>
              <w:rPr>
                <w:b/>
                <w:sz w:val="18"/>
              </w:rPr>
              <w:t>6</w:t>
            </w:r>
            <w:r w:rsidRPr="00FE3ECC">
              <w:rPr>
                <w:b/>
                <w:sz w:val="18"/>
              </w:rPr>
              <w:t>/201</w:t>
            </w:r>
            <w:r>
              <w:rPr>
                <w:b/>
                <w:sz w:val="18"/>
              </w:rPr>
              <w:t>1</w:t>
            </w:r>
          </w:p>
        </w:tc>
        <w:tc>
          <w:tcPr>
            <w:tcW w:w="1170" w:type="dxa"/>
            <w:tcBorders>
              <w:top w:val="single" w:sz="4" w:space="0" w:color="auto"/>
              <w:left w:val="single" w:sz="4" w:space="0" w:color="auto"/>
              <w:bottom w:val="single" w:sz="4" w:space="0" w:color="auto"/>
              <w:right w:val="single" w:sz="4" w:space="0" w:color="auto"/>
            </w:tcBorders>
          </w:tcPr>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CURRENT</w:t>
            </w:r>
          </w:p>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YEAR TO DATE</w:t>
            </w:r>
          </w:p>
          <w:p w:rsidR="005F46D0" w:rsidRPr="00FE3ECC" w:rsidRDefault="005F46D0" w:rsidP="005F46D0">
            <w:pPr>
              <w:pStyle w:val="BodyText"/>
              <w:tabs>
                <w:tab w:val="left" w:pos="360"/>
                <w:tab w:val="left" w:pos="540"/>
                <w:tab w:val="left" w:pos="630"/>
                <w:tab w:val="left" w:pos="1080"/>
              </w:tabs>
              <w:ind w:right="-108" w:hanging="108"/>
              <w:jc w:val="center"/>
              <w:rPr>
                <w:b/>
                <w:sz w:val="18"/>
              </w:rPr>
            </w:pPr>
            <w:r w:rsidRPr="00FE3ECC">
              <w:rPr>
                <w:b/>
                <w:sz w:val="18"/>
              </w:rPr>
              <w:t>3</w:t>
            </w:r>
            <w:r>
              <w:rPr>
                <w:b/>
                <w:sz w:val="18"/>
              </w:rPr>
              <w:t>0</w:t>
            </w:r>
            <w:r w:rsidRPr="00FE3ECC">
              <w:rPr>
                <w:b/>
                <w:sz w:val="18"/>
              </w:rPr>
              <w:t>/</w:t>
            </w:r>
            <w:r>
              <w:rPr>
                <w:b/>
                <w:sz w:val="18"/>
              </w:rPr>
              <w:t>6</w:t>
            </w:r>
            <w:r w:rsidRPr="00FE3ECC">
              <w:rPr>
                <w:b/>
                <w:sz w:val="18"/>
              </w:rPr>
              <w:t>/201</w:t>
            </w:r>
            <w:r>
              <w:rPr>
                <w:b/>
                <w:sz w:val="18"/>
              </w:rPr>
              <w:t>2</w:t>
            </w:r>
          </w:p>
        </w:tc>
        <w:tc>
          <w:tcPr>
            <w:tcW w:w="1800" w:type="dxa"/>
            <w:tcBorders>
              <w:left w:val="nil"/>
              <w:bottom w:val="single" w:sz="4" w:space="0" w:color="auto"/>
              <w:right w:val="single" w:sz="4" w:space="0" w:color="auto"/>
            </w:tcBorders>
          </w:tcPr>
          <w:p w:rsidR="005F46D0" w:rsidRDefault="005F46D0" w:rsidP="005F46D0">
            <w:pPr>
              <w:pStyle w:val="BodyText"/>
              <w:tabs>
                <w:tab w:val="left" w:pos="360"/>
                <w:tab w:val="left" w:pos="540"/>
                <w:tab w:val="left" w:pos="630"/>
                <w:tab w:val="left" w:pos="1080"/>
              </w:tabs>
              <w:ind w:right="-108" w:hanging="108"/>
              <w:jc w:val="center"/>
              <w:rPr>
                <w:b/>
                <w:sz w:val="18"/>
              </w:rPr>
            </w:pPr>
            <w:r>
              <w:rPr>
                <w:b/>
                <w:sz w:val="18"/>
              </w:rPr>
              <w:t>PRECEDING YEAR</w:t>
            </w:r>
          </w:p>
          <w:p w:rsidR="005F46D0" w:rsidRDefault="005F46D0" w:rsidP="005F46D0">
            <w:pPr>
              <w:pStyle w:val="BodyText"/>
              <w:tabs>
                <w:tab w:val="left" w:pos="360"/>
                <w:tab w:val="left" w:pos="540"/>
                <w:tab w:val="left" w:pos="630"/>
                <w:tab w:val="left" w:pos="1080"/>
              </w:tabs>
              <w:ind w:right="-108" w:hanging="108"/>
              <w:jc w:val="center"/>
              <w:rPr>
                <w:b/>
                <w:sz w:val="18"/>
              </w:rPr>
            </w:pPr>
            <w:r>
              <w:rPr>
                <w:b/>
                <w:sz w:val="18"/>
              </w:rPr>
              <w:t>CORRESPONDING</w:t>
            </w:r>
          </w:p>
          <w:p w:rsidR="005F46D0" w:rsidRDefault="005F46D0" w:rsidP="005F46D0">
            <w:pPr>
              <w:pStyle w:val="BodyText"/>
              <w:tabs>
                <w:tab w:val="left" w:pos="360"/>
                <w:tab w:val="left" w:pos="540"/>
                <w:tab w:val="left" w:pos="630"/>
                <w:tab w:val="left" w:pos="1080"/>
              </w:tabs>
              <w:ind w:right="-108" w:hanging="108"/>
              <w:jc w:val="center"/>
              <w:rPr>
                <w:b/>
                <w:sz w:val="18"/>
              </w:rPr>
            </w:pPr>
            <w:r>
              <w:rPr>
                <w:b/>
                <w:sz w:val="18"/>
              </w:rPr>
              <w:t>PERIOD</w:t>
            </w:r>
          </w:p>
          <w:p w:rsidR="005F46D0" w:rsidRDefault="005F46D0" w:rsidP="005F46D0">
            <w:pPr>
              <w:pStyle w:val="BodyText"/>
              <w:tabs>
                <w:tab w:val="left" w:pos="360"/>
                <w:tab w:val="left" w:pos="540"/>
                <w:tab w:val="left" w:pos="702"/>
                <w:tab w:val="left" w:pos="1080"/>
              </w:tabs>
              <w:ind w:right="-108" w:hanging="108"/>
              <w:jc w:val="center"/>
              <w:rPr>
                <w:b/>
                <w:sz w:val="18"/>
              </w:rPr>
            </w:pPr>
            <w:r>
              <w:rPr>
                <w:b/>
                <w:sz w:val="18"/>
              </w:rPr>
              <w:t>30/6/2011</w:t>
            </w:r>
          </w:p>
        </w:tc>
      </w:tr>
      <w:tr w:rsidR="00587F6F" w:rsidRPr="00EE4D71">
        <w:tc>
          <w:tcPr>
            <w:tcW w:w="2070" w:type="dxa"/>
            <w:tcBorders>
              <w:right w:val="single" w:sz="4" w:space="0" w:color="auto"/>
            </w:tcBorders>
          </w:tcPr>
          <w:p w:rsidR="00587F6F" w:rsidRPr="00EE4D71" w:rsidRDefault="00587F6F"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87F6F" w:rsidRPr="00587F6F" w:rsidRDefault="00587F6F" w:rsidP="00491580">
            <w:pPr>
              <w:pStyle w:val="BodyText"/>
              <w:tabs>
                <w:tab w:val="left" w:pos="360"/>
                <w:tab w:val="left" w:pos="540"/>
                <w:tab w:val="left" w:pos="630"/>
                <w:tab w:val="left" w:pos="1080"/>
              </w:tabs>
              <w:ind w:right="-450" w:hanging="1800"/>
              <w:jc w:val="right"/>
              <w:rPr>
                <w:sz w:val="20"/>
                <w:highlight w:val="yellow"/>
              </w:rPr>
            </w:pPr>
          </w:p>
        </w:tc>
        <w:tc>
          <w:tcPr>
            <w:tcW w:w="1890" w:type="dxa"/>
            <w:tcBorders>
              <w:top w:val="single" w:sz="4" w:space="0" w:color="auto"/>
              <w:left w:val="single" w:sz="4" w:space="0" w:color="auto"/>
              <w:right w:val="single" w:sz="4" w:space="0" w:color="auto"/>
            </w:tcBorders>
          </w:tcPr>
          <w:p w:rsidR="00587F6F" w:rsidRDefault="00587F6F" w:rsidP="00307FCA">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87F6F" w:rsidRPr="00587F6F" w:rsidRDefault="00587F6F" w:rsidP="00491580">
            <w:pPr>
              <w:pStyle w:val="BodyText"/>
              <w:tabs>
                <w:tab w:val="left" w:pos="360"/>
                <w:tab w:val="left" w:pos="540"/>
                <w:tab w:val="left" w:pos="630"/>
                <w:tab w:val="left" w:pos="1080"/>
              </w:tabs>
              <w:ind w:right="-450" w:hanging="1800"/>
              <w:jc w:val="right"/>
              <w:rPr>
                <w:sz w:val="20"/>
                <w:highlight w:val="yellow"/>
              </w:rPr>
            </w:pPr>
          </w:p>
        </w:tc>
        <w:tc>
          <w:tcPr>
            <w:tcW w:w="1800" w:type="dxa"/>
            <w:tcBorders>
              <w:top w:val="single" w:sz="4" w:space="0" w:color="auto"/>
              <w:left w:val="single" w:sz="4" w:space="0" w:color="auto"/>
              <w:right w:val="single" w:sz="4" w:space="0" w:color="auto"/>
            </w:tcBorders>
          </w:tcPr>
          <w:p w:rsidR="00587F6F" w:rsidRDefault="00587F6F" w:rsidP="00307FCA">
            <w:pPr>
              <w:pStyle w:val="BodyText"/>
              <w:tabs>
                <w:tab w:val="left" w:pos="360"/>
                <w:tab w:val="left" w:pos="540"/>
                <w:tab w:val="left" w:pos="630"/>
                <w:tab w:val="left" w:pos="1080"/>
              </w:tabs>
              <w:ind w:right="-450" w:hanging="1800"/>
              <w:jc w:val="right"/>
              <w:rPr>
                <w:sz w:val="20"/>
              </w:rPr>
            </w:pPr>
          </w:p>
        </w:tc>
      </w:tr>
      <w:tr w:rsidR="004C58AD" w:rsidRPr="00EE4D71" w:rsidTr="007B303C">
        <w:trPr>
          <w:trHeight w:val="405"/>
        </w:trPr>
        <w:tc>
          <w:tcPr>
            <w:tcW w:w="2070" w:type="dxa"/>
            <w:tcBorders>
              <w:right w:val="single" w:sz="4" w:space="0" w:color="auto"/>
            </w:tcBorders>
          </w:tcPr>
          <w:p w:rsidR="00E40AF6" w:rsidRPr="00E40AF6" w:rsidRDefault="00E40AF6" w:rsidP="004D696A">
            <w:pPr>
              <w:pStyle w:val="BodyText"/>
              <w:tabs>
                <w:tab w:val="left" w:pos="360"/>
                <w:tab w:val="left" w:pos="540"/>
                <w:tab w:val="left" w:pos="630"/>
                <w:tab w:val="left" w:pos="1080"/>
              </w:tabs>
              <w:ind w:right="-108" w:hanging="108"/>
              <w:jc w:val="left"/>
              <w:rPr>
                <w:sz w:val="20"/>
                <w:u w:val="single"/>
              </w:rPr>
            </w:pPr>
            <w:r w:rsidRPr="00E40AF6">
              <w:rPr>
                <w:sz w:val="20"/>
                <w:u w:val="single"/>
              </w:rPr>
              <w:t>RM’000</w:t>
            </w:r>
          </w:p>
          <w:p w:rsidR="004C58AD" w:rsidRDefault="004C58AD" w:rsidP="00E40AF6">
            <w:pPr>
              <w:pStyle w:val="BodyText"/>
              <w:tabs>
                <w:tab w:val="left" w:pos="360"/>
                <w:tab w:val="left" w:pos="540"/>
                <w:tab w:val="left" w:pos="630"/>
                <w:tab w:val="left" w:pos="1080"/>
              </w:tabs>
              <w:ind w:right="-108" w:hanging="108"/>
              <w:jc w:val="left"/>
              <w:rPr>
                <w:sz w:val="20"/>
              </w:rPr>
            </w:pPr>
            <w:r w:rsidRPr="00EE4D71">
              <w:rPr>
                <w:sz w:val="20"/>
              </w:rPr>
              <w:t xml:space="preserve">Net profit/(loss) </w:t>
            </w:r>
          </w:p>
          <w:p w:rsidR="00E40AF6" w:rsidRPr="00EE4D71" w:rsidRDefault="00E40AF6" w:rsidP="00E40AF6">
            <w:pPr>
              <w:pStyle w:val="BodyText"/>
              <w:tabs>
                <w:tab w:val="left" w:pos="360"/>
                <w:tab w:val="left" w:pos="540"/>
                <w:tab w:val="left" w:pos="630"/>
                <w:tab w:val="left" w:pos="1080"/>
              </w:tabs>
              <w:ind w:right="-108" w:hanging="108"/>
              <w:jc w:val="left"/>
              <w:rPr>
                <w:sz w:val="20"/>
              </w:rPr>
            </w:pPr>
          </w:p>
        </w:tc>
        <w:tc>
          <w:tcPr>
            <w:tcW w:w="1170" w:type="dxa"/>
            <w:tcBorders>
              <w:left w:val="single" w:sz="4" w:space="0" w:color="auto"/>
              <w:right w:val="single" w:sz="4" w:space="0" w:color="auto"/>
            </w:tcBorders>
            <w:shd w:val="clear" w:color="auto" w:fill="auto"/>
          </w:tcPr>
          <w:p w:rsidR="00E40AF6" w:rsidRDefault="004C58AD" w:rsidP="00D6317F">
            <w:pPr>
              <w:pStyle w:val="BodyText"/>
              <w:tabs>
                <w:tab w:val="left" w:pos="360"/>
                <w:tab w:val="left" w:pos="540"/>
                <w:tab w:val="left" w:pos="630"/>
                <w:tab w:val="left" w:pos="1080"/>
              </w:tabs>
              <w:ind w:right="-108" w:hanging="108"/>
              <w:jc w:val="center"/>
              <w:rPr>
                <w:b/>
                <w:sz w:val="20"/>
              </w:rPr>
            </w:pPr>
            <w:r w:rsidRPr="005D79A7">
              <w:rPr>
                <w:b/>
                <w:sz w:val="20"/>
              </w:rPr>
              <w:t xml:space="preserve">   </w:t>
            </w:r>
          </w:p>
          <w:p w:rsidR="004C58AD" w:rsidRPr="005D79A7" w:rsidRDefault="00E40AF6" w:rsidP="00D6317F">
            <w:pPr>
              <w:pStyle w:val="BodyText"/>
              <w:tabs>
                <w:tab w:val="left" w:pos="360"/>
                <w:tab w:val="left" w:pos="540"/>
                <w:tab w:val="left" w:pos="630"/>
                <w:tab w:val="left" w:pos="1080"/>
              </w:tabs>
              <w:ind w:right="-108" w:hanging="108"/>
              <w:jc w:val="center"/>
              <w:rPr>
                <w:b/>
                <w:sz w:val="20"/>
              </w:rPr>
            </w:pPr>
            <w:r>
              <w:rPr>
                <w:b/>
                <w:sz w:val="20"/>
              </w:rPr>
              <w:t xml:space="preserve">   </w:t>
            </w:r>
            <w:r w:rsidR="004C58AD" w:rsidRPr="005D79A7">
              <w:rPr>
                <w:b/>
                <w:sz w:val="20"/>
              </w:rPr>
              <w:t>6,876</w:t>
            </w:r>
          </w:p>
        </w:tc>
        <w:tc>
          <w:tcPr>
            <w:tcW w:w="1890" w:type="dxa"/>
            <w:tcBorders>
              <w:left w:val="single" w:sz="4" w:space="0" w:color="auto"/>
              <w:right w:val="single" w:sz="4" w:space="0" w:color="auto"/>
            </w:tcBorders>
            <w:shd w:val="clear" w:color="auto" w:fill="auto"/>
          </w:tcPr>
          <w:p w:rsidR="00E40AF6" w:rsidRDefault="00E40AF6" w:rsidP="00D6317F">
            <w:pPr>
              <w:pStyle w:val="BodyText"/>
              <w:tabs>
                <w:tab w:val="left" w:pos="360"/>
                <w:tab w:val="left" w:pos="540"/>
                <w:tab w:val="left" w:pos="630"/>
                <w:tab w:val="left" w:pos="1080"/>
              </w:tabs>
              <w:ind w:right="-108" w:hanging="108"/>
              <w:jc w:val="center"/>
              <w:rPr>
                <w:sz w:val="20"/>
              </w:rPr>
            </w:pPr>
          </w:p>
          <w:p w:rsidR="004C58AD" w:rsidRPr="005D79A7" w:rsidRDefault="00E40AF6" w:rsidP="00D6317F">
            <w:pPr>
              <w:pStyle w:val="BodyText"/>
              <w:tabs>
                <w:tab w:val="left" w:pos="360"/>
                <w:tab w:val="left" w:pos="540"/>
                <w:tab w:val="left" w:pos="630"/>
                <w:tab w:val="left" w:pos="1080"/>
              </w:tabs>
              <w:ind w:right="-108" w:hanging="108"/>
              <w:jc w:val="center"/>
              <w:rPr>
                <w:sz w:val="20"/>
              </w:rPr>
            </w:pPr>
            <w:r>
              <w:rPr>
                <w:sz w:val="20"/>
              </w:rPr>
              <w:t xml:space="preserve">   </w:t>
            </w:r>
            <w:r w:rsidR="004C58AD">
              <w:rPr>
                <w:sz w:val="20"/>
              </w:rPr>
              <w:t>96,686</w:t>
            </w:r>
          </w:p>
        </w:tc>
        <w:tc>
          <w:tcPr>
            <w:tcW w:w="1170" w:type="dxa"/>
            <w:tcBorders>
              <w:left w:val="single" w:sz="4" w:space="0" w:color="auto"/>
              <w:right w:val="single" w:sz="4" w:space="0" w:color="auto"/>
            </w:tcBorders>
            <w:shd w:val="clear" w:color="auto" w:fill="auto"/>
          </w:tcPr>
          <w:p w:rsidR="00E40AF6" w:rsidRDefault="004C58AD" w:rsidP="00D6317F">
            <w:pPr>
              <w:pStyle w:val="BodyText"/>
              <w:tabs>
                <w:tab w:val="left" w:pos="360"/>
                <w:tab w:val="left" w:pos="540"/>
                <w:tab w:val="left" w:pos="630"/>
                <w:tab w:val="left" w:pos="1080"/>
              </w:tabs>
              <w:ind w:right="-108" w:hanging="108"/>
              <w:jc w:val="center"/>
              <w:rPr>
                <w:b/>
                <w:sz w:val="20"/>
              </w:rPr>
            </w:pPr>
            <w:r w:rsidRPr="005D79A7">
              <w:rPr>
                <w:b/>
                <w:sz w:val="20"/>
              </w:rPr>
              <w:t xml:space="preserve">   </w:t>
            </w:r>
          </w:p>
          <w:p w:rsidR="004C58AD" w:rsidRPr="005D79A7" w:rsidRDefault="00E40AF6" w:rsidP="00E40AF6">
            <w:pPr>
              <w:pStyle w:val="BodyText"/>
              <w:tabs>
                <w:tab w:val="left" w:pos="360"/>
                <w:tab w:val="left" w:pos="540"/>
                <w:tab w:val="left" w:pos="630"/>
                <w:tab w:val="left" w:pos="1080"/>
              </w:tabs>
              <w:ind w:right="-108" w:hanging="108"/>
              <w:jc w:val="center"/>
            </w:pPr>
            <w:r>
              <w:rPr>
                <w:b/>
                <w:sz w:val="20"/>
              </w:rPr>
              <w:t xml:space="preserve">   </w:t>
            </w:r>
            <w:r w:rsidR="004C58AD" w:rsidRPr="005D79A7">
              <w:rPr>
                <w:b/>
                <w:sz w:val="20"/>
              </w:rPr>
              <w:t>(3,690)</w:t>
            </w:r>
          </w:p>
        </w:tc>
        <w:tc>
          <w:tcPr>
            <w:tcW w:w="1800" w:type="dxa"/>
            <w:tcBorders>
              <w:left w:val="single" w:sz="4" w:space="0" w:color="auto"/>
              <w:right w:val="single" w:sz="4" w:space="0" w:color="auto"/>
            </w:tcBorders>
          </w:tcPr>
          <w:p w:rsidR="00E40AF6" w:rsidRDefault="00E40AF6" w:rsidP="00D6317F">
            <w:pPr>
              <w:pStyle w:val="BodyText"/>
              <w:tabs>
                <w:tab w:val="left" w:pos="360"/>
                <w:tab w:val="left" w:pos="540"/>
                <w:tab w:val="left" w:pos="630"/>
                <w:tab w:val="left" w:pos="1080"/>
              </w:tabs>
              <w:ind w:right="-108" w:hanging="108"/>
              <w:jc w:val="center"/>
              <w:rPr>
                <w:sz w:val="20"/>
              </w:rPr>
            </w:pPr>
          </w:p>
          <w:p w:rsidR="004C58AD" w:rsidRPr="002614C3" w:rsidRDefault="004C58AD" w:rsidP="00D6317F">
            <w:pPr>
              <w:pStyle w:val="BodyText"/>
              <w:tabs>
                <w:tab w:val="left" w:pos="360"/>
                <w:tab w:val="left" w:pos="540"/>
                <w:tab w:val="left" w:pos="630"/>
                <w:tab w:val="left" w:pos="1080"/>
              </w:tabs>
              <w:ind w:right="-108" w:hanging="108"/>
              <w:jc w:val="center"/>
              <w:rPr>
                <w:sz w:val="20"/>
              </w:rPr>
            </w:pPr>
            <w:r>
              <w:rPr>
                <w:sz w:val="20"/>
              </w:rPr>
              <w:t>104,511</w:t>
            </w:r>
          </w:p>
        </w:tc>
      </w:tr>
      <w:tr w:rsidR="00B51CA3" w:rsidRPr="00EE4D71">
        <w:trPr>
          <w:trHeight w:val="693"/>
        </w:trPr>
        <w:tc>
          <w:tcPr>
            <w:tcW w:w="2070" w:type="dxa"/>
            <w:tcBorders>
              <w:right w:val="single" w:sz="4" w:space="0" w:color="auto"/>
            </w:tcBorders>
          </w:tcPr>
          <w:p w:rsidR="00B51CA3" w:rsidRDefault="00B51CA3" w:rsidP="00462395">
            <w:pPr>
              <w:pStyle w:val="BodyText"/>
              <w:tabs>
                <w:tab w:val="left" w:pos="360"/>
                <w:tab w:val="left" w:pos="540"/>
                <w:tab w:val="left" w:pos="630"/>
                <w:tab w:val="left" w:pos="1080"/>
              </w:tabs>
              <w:ind w:left="-108" w:right="-450"/>
              <w:jc w:val="left"/>
              <w:rPr>
                <w:sz w:val="20"/>
              </w:rPr>
            </w:pPr>
            <w:r>
              <w:rPr>
                <w:sz w:val="20"/>
              </w:rPr>
              <w:t>Net a</w:t>
            </w:r>
            <w:r w:rsidRPr="00EE4D71">
              <w:rPr>
                <w:sz w:val="20"/>
              </w:rPr>
              <w:t xml:space="preserve">djustment </w:t>
            </w:r>
            <w:r>
              <w:rPr>
                <w:sz w:val="20"/>
              </w:rPr>
              <w:t>for</w:t>
            </w:r>
          </w:p>
          <w:p w:rsidR="00B51CA3" w:rsidRDefault="00B51CA3" w:rsidP="00462395">
            <w:pPr>
              <w:pStyle w:val="BodyText"/>
              <w:tabs>
                <w:tab w:val="left" w:pos="360"/>
                <w:tab w:val="left" w:pos="540"/>
                <w:tab w:val="left" w:pos="630"/>
                <w:tab w:val="left" w:pos="1080"/>
              </w:tabs>
              <w:ind w:left="-108" w:right="-450"/>
              <w:jc w:val="left"/>
              <w:rPr>
                <w:sz w:val="20"/>
              </w:rPr>
            </w:pPr>
            <w:r w:rsidRPr="00EE4D71">
              <w:rPr>
                <w:sz w:val="20"/>
              </w:rPr>
              <w:t xml:space="preserve">effects of </w:t>
            </w:r>
            <w:r>
              <w:rPr>
                <w:sz w:val="20"/>
              </w:rPr>
              <w:t>RCSLS</w:t>
            </w:r>
          </w:p>
          <w:p w:rsidR="00B51CA3" w:rsidRPr="00EE4D71" w:rsidRDefault="00B51CA3" w:rsidP="00B51CA3">
            <w:pPr>
              <w:pStyle w:val="BodyText"/>
              <w:tabs>
                <w:tab w:val="left" w:pos="360"/>
                <w:tab w:val="left" w:pos="540"/>
                <w:tab w:val="left" w:pos="630"/>
                <w:tab w:val="left" w:pos="1080"/>
              </w:tabs>
              <w:ind w:left="-108" w:right="-450"/>
              <w:jc w:val="left"/>
              <w:rPr>
                <w:sz w:val="20"/>
              </w:rPr>
            </w:pPr>
            <w:r>
              <w:rPr>
                <w:sz w:val="20"/>
              </w:rPr>
              <w:t>conversion</w:t>
            </w:r>
          </w:p>
        </w:tc>
        <w:tc>
          <w:tcPr>
            <w:tcW w:w="1170" w:type="dxa"/>
            <w:tcBorders>
              <w:left w:val="single" w:sz="4" w:space="0" w:color="auto"/>
              <w:right w:val="single" w:sz="4" w:space="0" w:color="auto"/>
            </w:tcBorders>
            <w:shd w:val="clear" w:color="auto" w:fill="auto"/>
          </w:tcPr>
          <w:p w:rsidR="00B51CA3" w:rsidRDefault="00B51CA3" w:rsidP="004E21B0">
            <w:pPr>
              <w:pStyle w:val="BodyText"/>
              <w:tabs>
                <w:tab w:val="left" w:pos="360"/>
                <w:tab w:val="left" w:pos="540"/>
                <w:tab w:val="left" w:pos="630"/>
                <w:tab w:val="left" w:pos="1080"/>
              </w:tabs>
              <w:ind w:left="-108" w:right="-108" w:hanging="108"/>
              <w:jc w:val="center"/>
              <w:rPr>
                <w:b/>
                <w:sz w:val="20"/>
              </w:rPr>
            </w:pPr>
          </w:p>
          <w:p w:rsidR="00B51CA3" w:rsidRDefault="00B51CA3" w:rsidP="004E21B0">
            <w:pPr>
              <w:pStyle w:val="BodyText"/>
              <w:tabs>
                <w:tab w:val="left" w:pos="360"/>
                <w:tab w:val="left" w:pos="540"/>
                <w:tab w:val="left" w:pos="630"/>
                <w:tab w:val="left" w:pos="1080"/>
              </w:tabs>
              <w:ind w:left="-108" w:right="-108" w:hanging="108"/>
              <w:jc w:val="center"/>
              <w:rPr>
                <w:b/>
                <w:sz w:val="20"/>
              </w:rPr>
            </w:pPr>
          </w:p>
          <w:p w:rsidR="00B51CA3" w:rsidRPr="00F85375" w:rsidRDefault="00B51CA3" w:rsidP="004E21B0">
            <w:pPr>
              <w:pStyle w:val="BodyText"/>
              <w:tabs>
                <w:tab w:val="left" w:pos="360"/>
                <w:tab w:val="left" w:pos="540"/>
                <w:tab w:val="left" w:pos="630"/>
                <w:tab w:val="left" w:pos="1080"/>
              </w:tabs>
              <w:ind w:left="-108" w:right="-108" w:hanging="108"/>
              <w:jc w:val="center"/>
              <w:rPr>
                <w:b/>
                <w:sz w:val="20"/>
              </w:rPr>
            </w:pPr>
            <w:r w:rsidRPr="00F85375">
              <w:rPr>
                <w:b/>
                <w:sz w:val="20"/>
              </w:rPr>
              <w:t xml:space="preserve">        (470)</w:t>
            </w:r>
          </w:p>
        </w:tc>
        <w:tc>
          <w:tcPr>
            <w:tcW w:w="1890" w:type="dxa"/>
            <w:tcBorders>
              <w:left w:val="single" w:sz="4" w:space="0" w:color="auto"/>
              <w:right w:val="single" w:sz="4" w:space="0" w:color="auto"/>
            </w:tcBorders>
            <w:shd w:val="clear" w:color="auto" w:fill="auto"/>
          </w:tcPr>
          <w:p w:rsidR="00FE0F58" w:rsidRDefault="00B51CA3" w:rsidP="004E21B0">
            <w:pPr>
              <w:pStyle w:val="BodyText"/>
              <w:tabs>
                <w:tab w:val="left" w:pos="360"/>
                <w:tab w:val="left" w:pos="540"/>
                <w:tab w:val="left" w:pos="630"/>
                <w:tab w:val="left" w:pos="1080"/>
              </w:tabs>
              <w:ind w:left="-108" w:right="-108" w:hanging="108"/>
              <w:jc w:val="center"/>
              <w:rPr>
                <w:sz w:val="20"/>
              </w:rPr>
            </w:pPr>
            <w:r>
              <w:rPr>
                <w:sz w:val="20"/>
              </w:rPr>
              <w:t xml:space="preserve">          </w:t>
            </w:r>
          </w:p>
          <w:p w:rsidR="00FE0F58" w:rsidRDefault="00FE0F58" w:rsidP="004E21B0">
            <w:pPr>
              <w:pStyle w:val="BodyText"/>
              <w:tabs>
                <w:tab w:val="left" w:pos="360"/>
                <w:tab w:val="left" w:pos="540"/>
                <w:tab w:val="left" w:pos="630"/>
                <w:tab w:val="left" w:pos="1080"/>
              </w:tabs>
              <w:ind w:left="-108" w:right="-108" w:hanging="108"/>
              <w:jc w:val="center"/>
              <w:rPr>
                <w:sz w:val="20"/>
              </w:rPr>
            </w:pPr>
          </w:p>
          <w:p w:rsidR="00B51CA3" w:rsidRPr="00F94132" w:rsidRDefault="00FE0F58" w:rsidP="004E21B0">
            <w:pPr>
              <w:pStyle w:val="BodyText"/>
              <w:tabs>
                <w:tab w:val="left" w:pos="360"/>
                <w:tab w:val="left" w:pos="540"/>
                <w:tab w:val="left" w:pos="630"/>
                <w:tab w:val="left" w:pos="1080"/>
              </w:tabs>
              <w:ind w:left="-108" w:right="-108" w:hanging="108"/>
              <w:jc w:val="center"/>
              <w:rPr>
                <w:sz w:val="20"/>
              </w:rPr>
            </w:pPr>
            <w:r>
              <w:rPr>
                <w:sz w:val="20"/>
              </w:rPr>
              <w:t xml:space="preserve">          </w:t>
            </w:r>
            <w:r w:rsidR="00B51CA3">
              <w:rPr>
                <w:sz w:val="20"/>
              </w:rPr>
              <w:t>(379</w:t>
            </w:r>
            <w:r w:rsidR="00B51CA3" w:rsidRPr="00F94132">
              <w:rPr>
                <w:sz w:val="20"/>
              </w:rPr>
              <w:t>)</w:t>
            </w:r>
          </w:p>
        </w:tc>
        <w:tc>
          <w:tcPr>
            <w:tcW w:w="1170" w:type="dxa"/>
            <w:tcBorders>
              <w:left w:val="single" w:sz="4" w:space="0" w:color="auto"/>
              <w:right w:val="single" w:sz="4" w:space="0" w:color="auto"/>
            </w:tcBorders>
            <w:shd w:val="clear" w:color="auto" w:fill="auto"/>
          </w:tcPr>
          <w:p w:rsidR="00FE0F58" w:rsidRDefault="00B51CA3" w:rsidP="004E21B0">
            <w:pPr>
              <w:pStyle w:val="BodyText"/>
              <w:tabs>
                <w:tab w:val="left" w:pos="360"/>
                <w:tab w:val="left" w:pos="540"/>
                <w:tab w:val="left" w:pos="630"/>
                <w:tab w:val="left" w:pos="1080"/>
              </w:tabs>
              <w:ind w:left="-108" w:right="-108" w:hanging="108"/>
              <w:jc w:val="center"/>
              <w:rPr>
                <w:b/>
                <w:sz w:val="20"/>
              </w:rPr>
            </w:pPr>
            <w:r w:rsidRPr="00F85375">
              <w:rPr>
                <w:b/>
                <w:sz w:val="20"/>
              </w:rPr>
              <w:t xml:space="preserve">      </w:t>
            </w:r>
          </w:p>
          <w:p w:rsidR="00FE0F58" w:rsidRDefault="00FE0F58" w:rsidP="004E21B0">
            <w:pPr>
              <w:pStyle w:val="BodyText"/>
              <w:tabs>
                <w:tab w:val="left" w:pos="360"/>
                <w:tab w:val="left" w:pos="540"/>
                <w:tab w:val="left" w:pos="630"/>
                <w:tab w:val="left" w:pos="1080"/>
              </w:tabs>
              <w:ind w:left="-108" w:right="-108" w:hanging="108"/>
              <w:jc w:val="center"/>
              <w:rPr>
                <w:b/>
                <w:sz w:val="20"/>
              </w:rPr>
            </w:pPr>
          </w:p>
          <w:p w:rsidR="00B51CA3" w:rsidRPr="00F85375" w:rsidRDefault="00FE0F58" w:rsidP="004E21B0">
            <w:pPr>
              <w:pStyle w:val="BodyText"/>
              <w:tabs>
                <w:tab w:val="left" w:pos="360"/>
                <w:tab w:val="left" w:pos="540"/>
                <w:tab w:val="left" w:pos="630"/>
                <w:tab w:val="left" w:pos="1080"/>
              </w:tabs>
              <w:ind w:left="-108" w:right="-108" w:hanging="108"/>
              <w:jc w:val="center"/>
              <w:rPr>
                <w:b/>
                <w:sz w:val="20"/>
              </w:rPr>
            </w:pPr>
            <w:r>
              <w:rPr>
                <w:b/>
                <w:sz w:val="20"/>
              </w:rPr>
              <w:t xml:space="preserve">      </w:t>
            </w:r>
            <w:r w:rsidR="00B51CA3" w:rsidRPr="00F85375">
              <w:rPr>
                <w:b/>
                <w:sz w:val="20"/>
              </w:rPr>
              <w:t xml:space="preserve">   (910)</w:t>
            </w:r>
          </w:p>
        </w:tc>
        <w:tc>
          <w:tcPr>
            <w:tcW w:w="1800" w:type="dxa"/>
            <w:tcBorders>
              <w:left w:val="single" w:sz="4" w:space="0" w:color="auto"/>
              <w:right w:val="single" w:sz="4" w:space="0" w:color="auto"/>
            </w:tcBorders>
          </w:tcPr>
          <w:p w:rsidR="00FE0F58" w:rsidRDefault="00B51CA3" w:rsidP="004E21B0">
            <w:pPr>
              <w:pStyle w:val="BodyText"/>
              <w:tabs>
                <w:tab w:val="left" w:pos="360"/>
                <w:tab w:val="left" w:pos="540"/>
                <w:tab w:val="left" w:pos="630"/>
                <w:tab w:val="left" w:pos="1080"/>
              </w:tabs>
              <w:ind w:left="-108" w:right="-108" w:hanging="108"/>
              <w:jc w:val="center"/>
              <w:rPr>
                <w:sz w:val="20"/>
              </w:rPr>
            </w:pPr>
            <w:r>
              <w:rPr>
                <w:sz w:val="20"/>
              </w:rPr>
              <w:t xml:space="preserve">    </w:t>
            </w:r>
          </w:p>
          <w:p w:rsidR="00FE0F58" w:rsidRDefault="00FE0F58" w:rsidP="004E21B0">
            <w:pPr>
              <w:pStyle w:val="BodyText"/>
              <w:tabs>
                <w:tab w:val="left" w:pos="360"/>
                <w:tab w:val="left" w:pos="540"/>
                <w:tab w:val="left" w:pos="630"/>
                <w:tab w:val="left" w:pos="1080"/>
              </w:tabs>
              <w:ind w:left="-108" w:right="-108" w:hanging="108"/>
              <w:jc w:val="center"/>
              <w:rPr>
                <w:sz w:val="20"/>
              </w:rPr>
            </w:pPr>
          </w:p>
          <w:p w:rsidR="00B51CA3" w:rsidRPr="00F94132" w:rsidRDefault="00FE0F58" w:rsidP="004E21B0">
            <w:pPr>
              <w:pStyle w:val="BodyText"/>
              <w:tabs>
                <w:tab w:val="left" w:pos="360"/>
                <w:tab w:val="left" w:pos="540"/>
                <w:tab w:val="left" w:pos="630"/>
                <w:tab w:val="left" w:pos="1080"/>
              </w:tabs>
              <w:ind w:left="-108" w:right="-108" w:hanging="108"/>
              <w:jc w:val="center"/>
              <w:rPr>
                <w:sz w:val="20"/>
              </w:rPr>
            </w:pPr>
            <w:r>
              <w:rPr>
                <w:sz w:val="20"/>
              </w:rPr>
              <w:t xml:space="preserve">   </w:t>
            </w:r>
            <w:r w:rsidR="00B51CA3">
              <w:rPr>
                <w:sz w:val="20"/>
              </w:rPr>
              <w:t xml:space="preserve">     (790</w:t>
            </w:r>
            <w:r w:rsidR="00B51CA3" w:rsidRPr="00F94132">
              <w:rPr>
                <w:sz w:val="20"/>
              </w:rPr>
              <w:t>)</w:t>
            </w:r>
          </w:p>
        </w:tc>
      </w:tr>
      <w:tr w:rsidR="00B51CA3" w:rsidRPr="00EE4D71" w:rsidTr="009B772A">
        <w:tc>
          <w:tcPr>
            <w:tcW w:w="2070" w:type="dxa"/>
            <w:tcBorders>
              <w:right w:val="single" w:sz="4" w:space="0" w:color="auto"/>
            </w:tcBorders>
          </w:tcPr>
          <w:p w:rsidR="00B51CA3" w:rsidRPr="00EE4D71" w:rsidRDefault="00B51CA3" w:rsidP="00FA061F">
            <w:pPr>
              <w:pStyle w:val="BodyText"/>
              <w:tabs>
                <w:tab w:val="left" w:pos="360"/>
                <w:tab w:val="left" w:pos="540"/>
                <w:tab w:val="left" w:pos="630"/>
                <w:tab w:val="left" w:pos="1080"/>
              </w:tabs>
              <w:ind w:right="-108" w:hanging="108"/>
              <w:jc w:val="left"/>
              <w:rPr>
                <w:sz w:val="20"/>
              </w:rPr>
            </w:pPr>
            <w:r w:rsidRPr="00EE4D71">
              <w:rPr>
                <w:sz w:val="20"/>
              </w:rPr>
              <w:t xml:space="preserve">Adjusted net </w:t>
            </w:r>
            <w:r>
              <w:rPr>
                <w:sz w:val="20"/>
              </w:rPr>
              <w:t>(loss)/profit</w:t>
            </w:r>
          </w:p>
        </w:tc>
        <w:tc>
          <w:tcPr>
            <w:tcW w:w="1170" w:type="dxa"/>
            <w:tcBorders>
              <w:top w:val="single" w:sz="4" w:space="0" w:color="auto"/>
              <w:left w:val="single" w:sz="4" w:space="0" w:color="auto"/>
              <w:right w:val="single" w:sz="4" w:space="0" w:color="auto"/>
            </w:tcBorders>
            <w:shd w:val="clear" w:color="auto" w:fill="auto"/>
          </w:tcPr>
          <w:p w:rsidR="00B51CA3" w:rsidRPr="00F85375" w:rsidRDefault="00B51CA3" w:rsidP="004665D1">
            <w:pPr>
              <w:pStyle w:val="BodyText"/>
              <w:tabs>
                <w:tab w:val="left" w:pos="360"/>
                <w:tab w:val="left" w:pos="540"/>
                <w:tab w:val="left" w:pos="630"/>
                <w:tab w:val="left" w:pos="1080"/>
              </w:tabs>
              <w:ind w:right="-108" w:hanging="108"/>
              <w:jc w:val="center"/>
              <w:rPr>
                <w:b/>
                <w:sz w:val="20"/>
              </w:rPr>
            </w:pPr>
            <w:r>
              <w:rPr>
                <w:b/>
                <w:sz w:val="20"/>
              </w:rPr>
              <w:t xml:space="preserve">   </w:t>
            </w:r>
            <w:r w:rsidRPr="00F85375">
              <w:rPr>
                <w:b/>
                <w:sz w:val="20"/>
              </w:rPr>
              <w:t>6,406</w:t>
            </w:r>
          </w:p>
        </w:tc>
        <w:tc>
          <w:tcPr>
            <w:tcW w:w="1890" w:type="dxa"/>
            <w:tcBorders>
              <w:top w:val="single" w:sz="4" w:space="0" w:color="auto"/>
              <w:left w:val="single" w:sz="4" w:space="0" w:color="auto"/>
              <w:right w:val="single" w:sz="4" w:space="0" w:color="auto"/>
            </w:tcBorders>
            <w:shd w:val="clear" w:color="auto" w:fill="auto"/>
          </w:tcPr>
          <w:p w:rsidR="00B51CA3" w:rsidRPr="00F94132" w:rsidRDefault="00B51CA3" w:rsidP="004C58AD">
            <w:pPr>
              <w:pStyle w:val="BodyText"/>
              <w:tabs>
                <w:tab w:val="left" w:pos="360"/>
                <w:tab w:val="left" w:pos="540"/>
                <w:tab w:val="left" w:pos="630"/>
                <w:tab w:val="left" w:pos="1080"/>
              </w:tabs>
              <w:ind w:right="-108" w:hanging="108"/>
              <w:jc w:val="center"/>
              <w:rPr>
                <w:sz w:val="20"/>
              </w:rPr>
            </w:pPr>
            <w:r w:rsidRPr="00F94132">
              <w:rPr>
                <w:sz w:val="20"/>
              </w:rPr>
              <w:t xml:space="preserve">    </w:t>
            </w:r>
            <w:r>
              <w:rPr>
                <w:sz w:val="20"/>
              </w:rPr>
              <w:t>96,307</w:t>
            </w:r>
          </w:p>
        </w:tc>
        <w:tc>
          <w:tcPr>
            <w:tcW w:w="1170" w:type="dxa"/>
            <w:tcBorders>
              <w:top w:val="single" w:sz="4" w:space="0" w:color="auto"/>
              <w:left w:val="single" w:sz="4" w:space="0" w:color="auto"/>
              <w:right w:val="single" w:sz="4" w:space="0" w:color="auto"/>
            </w:tcBorders>
            <w:shd w:val="clear" w:color="auto" w:fill="auto"/>
          </w:tcPr>
          <w:p w:rsidR="00B51CA3" w:rsidRPr="00F85375" w:rsidRDefault="00B51CA3" w:rsidP="000D75A8">
            <w:pPr>
              <w:pStyle w:val="BodyText"/>
              <w:tabs>
                <w:tab w:val="left" w:pos="360"/>
                <w:tab w:val="left" w:pos="540"/>
                <w:tab w:val="left" w:pos="630"/>
                <w:tab w:val="left" w:pos="1080"/>
              </w:tabs>
              <w:ind w:right="-108" w:hanging="108"/>
              <w:jc w:val="center"/>
              <w:rPr>
                <w:b/>
                <w:sz w:val="20"/>
              </w:rPr>
            </w:pPr>
            <w:r w:rsidRPr="00F85375">
              <w:rPr>
                <w:b/>
                <w:sz w:val="20"/>
              </w:rPr>
              <w:t xml:space="preserve">    (4,600)</w:t>
            </w:r>
          </w:p>
        </w:tc>
        <w:tc>
          <w:tcPr>
            <w:tcW w:w="1800" w:type="dxa"/>
            <w:tcBorders>
              <w:top w:val="single" w:sz="4" w:space="0" w:color="auto"/>
              <w:left w:val="single" w:sz="4" w:space="0" w:color="auto"/>
              <w:right w:val="single" w:sz="4" w:space="0" w:color="auto"/>
            </w:tcBorders>
          </w:tcPr>
          <w:p w:rsidR="00B51CA3" w:rsidRPr="00F94132" w:rsidRDefault="00B51CA3" w:rsidP="004C58AD">
            <w:pPr>
              <w:pStyle w:val="BodyText"/>
              <w:tabs>
                <w:tab w:val="left" w:pos="360"/>
                <w:tab w:val="left" w:pos="540"/>
                <w:tab w:val="left" w:pos="630"/>
                <w:tab w:val="left" w:pos="1080"/>
              </w:tabs>
              <w:ind w:right="-108" w:hanging="108"/>
              <w:jc w:val="center"/>
              <w:rPr>
                <w:sz w:val="20"/>
              </w:rPr>
            </w:pPr>
            <w:r>
              <w:rPr>
                <w:sz w:val="20"/>
              </w:rPr>
              <w:t xml:space="preserve"> 103,721</w:t>
            </w:r>
          </w:p>
        </w:tc>
      </w:tr>
      <w:tr w:rsidR="00B51CA3" w:rsidRPr="00EE4D71" w:rsidTr="009B772A">
        <w:tc>
          <w:tcPr>
            <w:tcW w:w="2070" w:type="dxa"/>
            <w:tcBorders>
              <w:right w:val="single" w:sz="4" w:space="0" w:color="auto"/>
            </w:tcBorders>
          </w:tcPr>
          <w:p w:rsidR="00B51CA3" w:rsidRDefault="00B51CA3" w:rsidP="00E40AF6">
            <w:pPr>
              <w:pStyle w:val="BodyText"/>
              <w:tabs>
                <w:tab w:val="left" w:pos="360"/>
                <w:tab w:val="left" w:pos="540"/>
                <w:tab w:val="left" w:pos="630"/>
                <w:tab w:val="left" w:pos="1080"/>
              </w:tabs>
              <w:ind w:left="342" w:right="-108" w:hanging="450"/>
              <w:jc w:val="left"/>
              <w:rPr>
                <w:sz w:val="20"/>
              </w:rPr>
            </w:pPr>
            <w:r>
              <w:rPr>
                <w:sz w:val="20"/>
              </w:rPr>
              <w:t xml:space="preserve">Less: Profit from discontinued operation, net of tax </w:t>
            </w:r>
          </w:p>
        </w:tc>
        <w:tc>
          <w:tcPr>
            <w:tcW w:w="1170" w:type="dxa"/>
            <w:tcBorders>
              <w:left w:val="single" w:sz="4" w:space="0" w:color="auto"/>
              <w:bottom w:val="single" w:sz="4" w:space="0" w:color="auto"/>
              <w:right w:val="single" w:sz="4" w:space="0" w:color="auto"/>
            </w:tcBorders>
            <w:shd w:val="clear" w:color="auto" w:fill="auto"/>
          </w:tcPr>
          <w:p w:rsidR="00B51CA3" w:rsidRDefault="00B51CA3" w:rsidP="00EE0622">
            <w:pPr>
              <w:pStyle w:val="BodyText"/>
              <w:tabs>
                <w:tab w:val="left" w:pos="360"/>
                <w:tab w:val="left" w:pos="540"/>
                <w:tab w:val="left" w:pos="630"/>
                <w:tab w:val="left" w:pos="1080"/>
              </w:tabs>
              <w:ind w:right="-108" w:hanging="108"/>
              <w:jc w:val="center"/>
              <w:rPr>
                <w:b/>
                <w:sz w:val="20"/>
              </w:rPr>
            </w:pPr>
          </w:p>
          <w:p w:rsidR="00B51CA3" w:rsidRDefault="00B51CA3" w:rsidP="00EE0622">
            <w:pPr>
              <w:pStyle w:val="BodyText"/>
              <w:tabs>
                <w:tab w:val="left" w:pos="360"/>
                <w:tab w:val="left" w:pos="540"/>
                <w:tab w:val="left" w:pos="630"/>
                <w:tab w:val="left" w:pos="1080"/>
              </w:tabs>
              <w:ind w:right="-108" w:hanging="108"/>
              <w:jc w:val="center"/>
              <w:rPr>
                <w:b/>
                <w:sz w:val="20"/>
              </w:rPr>
            </w:pPr>
          </w:p>
          <w:p w:rsidR="00B51CA3" w:rsidRPr="005D79A7" w:rsidRDefault="00B51CA3" w:rsidP="00EE0622">
            <w:pPr>
              <w:pStyle w:val="BodyText"/>
              <w:tabs>
                <w:tab w:val="left" w:pos="360"/>
                <w:tab w:val="left" w:pos="540"/>
                <w:tab w:val="left" w:pos="630"/>
                <w:tab w:val="left" w:pos="1080"/>
              </w:tabs>
              <w:ind w:right="-108" w:hanging="108"/>
              <w:jc w:val="center"/>
              <w:rPr>
                <w:b/>
                <w:sz w:val="20"/>
              </w:rPr>
            </w:pPr>
            <w:r>
              <w:rPr>
                <w:b/>
                <w:sz w:val="20"/>
              </w:rPr>
              <w:t xml:space="preserve">   (12,169)</w:t>
            </w:r>
          </w:p>
        </w:tc>
        <w:tc>
          <w:tcPr>
            <w:tcW w:w="1890" w:type="dxa"/>
            <w:tcBorders>
              <w:left w:val="single" w:sz="4" w:space="0" w:color="auto"/>
              <w:bottom w:val="single" w:sz="4" w:space="0" w:color="auto"/>
              <w:right w:val="single" w:sz="4" w:space="0" w:color="auto"/>
            </w:tcBorders>
            <w:shd w:val="clear" w:color="auto" w:fill="auto"/>
          </w:tcPr>
          <w:p w:rsidR="00B51CA3" w:rsidRDefault="00B51CA3" w:rsidP="00EE0622">
            <w:pPr>
              <w:pStyle w:val="BodyText"/>
              <w:tabs>
                <w:tab w:val="left" w:pos="360"/>
                <w:tab w:val="left" w:pos="540"/>
                <w:tab w:val="left" w:pos="630"/>
                <w:tab w:val="left" w:pos="1080"/>
              </w:tabs>
              <w:ind w:right="-108" w:hanging="108"/>
              <w:jc w:val="center"/>
              <w:rPr>
                <w:sz w:val="20"/>
              </w:rPr>
            </w:pPr>
          </w:p>
          <w:p w:rsidR="00B51CA3" w:rsidRDefault="00B51CA3" w:rsidP="00EE0622">
            <w:pPr>
              <w:pStyle w:val="BodyText"/>
              <w:tabs>
                <w:tab w:val="left" w:pos="360"/>
                <w:tab w:val="left" w:pos="540"/>
                <w:tab w:val="left" w:pos="630"/>
                <w:tab w:val="left" w:pos="1080"/>
              </w:tabs>
              <w:ind w:right="-108" w:hanging="108"/>
              <w:jc w:val="center"/>
              <w:rPr>
                <w:sz w:val="20"/>
              </w:rPr>
            </w:pPr>
          </w:p>
          <w:p w:rsidR="00B51CA3" w:rsidRPr="005D79A7" w:rsidRDefault="00B51CA3" w:rsidP="00EE0622">
            <w:pPr>
              <w:pStyle w:val="BodyText"/>
              <w:tabs>
                <w:tab w:val="left" w:pos="360"/>
                <w:tab w:val="left" w:pos="540"/>
                <w:tab w:val="left" w:pos="630"/>
                <w:tab w:val="left" w:pos="1080"/>
              </w:tabs>
              <w:ind w:right="-108" w:hanging="108"/>
              <w:jc w:val="center"/>
              <w:rPr>
                <w:sz w:val="20"/>
              </w:rPr>
            </w:pPr>
            <w:r>
              <w:rPr>
                <w:sz w:val="20"/>
              </w:rPr>
              <w:t xml:space="preserve">     (8,957)</w:t>
            </w:r>
          </w:p>
        </w:tc>
        <w:tc>
          <w:tcPr>
            <w:tcW w:w="1170" w:type="dxa"/>
            <w:tcBorders>
              <w:left w:val="single" w:sz="4" w:space="0" w:color="auto"/>
              <w:bottom w:val="single" w:sz="4" w:space="0" w:color="auto"/>
              <w:right w:val="single" w:sz="4" w:space="0" w:color="auto"/>
            </w:tcBorders>
            <w:shd w:val="clear" w:color="auto" w:fill="auto"/>
          </w:tcPr>
          <w:p w:rsidR="00B51CA3" w:rsidRDefault="00B51CA3" w:rsidP="00EE0622">
            <w:pPr>
              <w:pStyle w:val="BodyText"/>
              <w:tabs>
                <w:tab w:val="left" w:pos="360"/>
                <w:tab w:val="left" w:pos="540"/>
                <w:tab w:val="left" w:pos="630"/>
                <w:tab w:val="left" w:pos="1080"/>
              </w:tabs>
              <w:ind w:right="-108" w:hanging="108"/>
              <w:jc w:val="center"/>
              <w:rPr>
                <w:b/>
                <w:sz w:val="20"/>
              </w:rPr>
            </w:pPr>
          </w:p>
          <w:p w:rsidR="00B51CA3" w:rsidRDefault="00B51CA3" w:rsidP="00EE0622">
            <w:pPr>
              <w:pStyle w:val="BodyText"/>
              <w:tabs>
                <w:tab w:val="left" w:pos="360"/>
                <w:tab w:val="left" w:pos="540"/>
                <w:tab w:val="left" w:pos="630"/>
                <w:tab w:val="left" w:pos="1080"/>
              </w:tabs>
              <w:ind w:right="-108" w:hanging="108"/>
              <w:jc w:val="center"/>
              <w:rPr>
                <w:b/>
                <w:sz w:val="20"/>
              </w:rPr>
            </w:pPr>
          </w:p>
          <w:p w:rsidR="00B51CA3" w:rsidRPr="005D79A7" w:rsidRDefault="00B51CA3" w:rsidP="00EE0622">
            <w:pPr>
              <w:pStyle w:val="BodyText"/>
              <w:tabs>
                <w:tab w:val="left" w:pos="360"/>
                <w:tab w:val="left" w:pos="540"/>
                <w:tab w:val="left" w:pos="630"/>
                <w:tab w:val="left" w:pos="1080"/>
              </w:tabs>
              <w:ind w:right="-108" w:hanging="108"/>
              <w:jc w:val="center"/>
              <w:rPr>
                <w:b/>
                <w:sz w:val="20"/>
              </w:rPr>
            </w:pPr>
            <w:r>
              <w:rPr>
                <w:b/>
                <w:sz w:val="20"/>
              </w:rPr>
              <w:t xml:space="preserve">  (23,672)</w:t>
            </w:r>
          </w:p>
        </w:tc>
        <w:tc>
          <w:tcPr>
            <w:tcW w:w="1800" w:type="dxa"/>
            <w:tcBorders>
              <w:left w:val="single" w:sz="4" w:space="0" w:color="auto"/>
              <w:bottom w:val="single" w:sz="4" w:space="0" w:color="auto"/>
              <w:right w:val="single" w:sz="4" w:space="0" w:color="auto"/>
            </w:tcBorders>
          </w:tcPr>
          <w:p w:rsidR="00B51CA3" w:rsidRDefault="00B51CA3" w:rsidP="00EE0622">
            <w:pPr>
              <w:pStyle w:val="BodyText"/>
              <w:tabs>
                <w:tab w:val="left" w:pos="360"/>
                <w:tab w:val="left" w:pos="540"/>
                <w:tab w:val="left" w:pos="630"/>
                <w:tab w:val="left" w:pos="1080"/>
              </w:tabs>
              <w:ind w:right="-108" w:hanging="108"/>
              <w:jc w:val="center"/>
              <w:rPr>
                <w:sz w:val="20"/>
              </w:rPr>
            </w:pPr>
          </w:p>
          <w:p w:rsidR="00B51CA3" w:rsidRDefault="00B51CA3" w:rsidP="00EE0622">
            <w:pPr>
              <w:pStyle w:val="BodyText"/>
              <w:tabs>
                <w:tab w:val="left" w:pos="360"/>
                <w:tab w:val="left" w:pos="540"/>
                <w:tab w:val="left" w:pos="630"/>
                <w:tab w:val="left" w:pos="1080"/>
              </w:tabs>
              <w:ind w:right="-108" w:hanging="108"/>
              <w:jc w:val="center"/>
              <w:rPr>
                <w:sz w:val="20"/>
              </w:rPr>
            </w:pPr>
          </w:p>
          <w:p w:rsidR="00B51CA3" w:rsidRPr="002614C3" w:rsidRDefault="00B51CA3" w:rsidP="00EE0622">
            <w:pPr>
              <w:pStyle w:val="BodyText"/>
              <w:tabs>
                <w:tab w:val="left" w:pos="360"/>
                <w:tab w:val="left" w:pos="540"/>
                <w:tab w:val="left" w:pos="630"/>
                <w:tab w:val="left" w:pos="1080"/>
              </w:tabs>
              <w:ind w:right="-108" w:hanging="108"/>
              <w:jc w:val="center"/>
              <w:rPr>
                <w:sz w:val="20"/>
              </w:rPr>
            </w:pPr>
            <w:r>
              <w:rPr>
                <w:sz w:val="20"/>
              </w:rPr>
              <w:t xml:space="preserve">  (19,137)</w:t>
            </w:r>
          </w:p>
        </w:tc>
      </w:tr>
      <w:tr w:rsidR="00B51CA3" w:rsidRPr="00EE4D71" w:rsidTr="009B772A">
        <w:tc>
          <w:tcPr>
            <w:tcW w:w="2070" w:type="dxa"/>
            <w:tcBorders>
              <w:right w:val="single" w:sz="4" w:space="0" w:color="auto"/>
            </w:tcBorders>
          </w:tcPr>
          <w:p w:rsidR="00B51CA3" w:rsidRPr="00EE4D71" w:rsidRDefault="00B51CA3" w:rsidP="009B772A">
            <w:pPr>
              <w:pStyle w:val="BodyText"/>
              <w:tabs>
                <w:tab w:val="left" w:pos="360"/>
                <w:tab w:val="left" w:pos="540"/>
                <w:tab w:val="left" w:pos="630"/>
                <w:tab w:val="left" w:pos="1080"/>
              </w:tabs>
              <w:ind w:right="-108" w:hanging="108"/>
              <w:jc w:val="left"/>
              <w:rPr>
                <w:sz w:val="20"/>
              </w:rPr>
            </w:pPr>
            <w:r>
              <w:rPr>
                <w:sz w:val="20"/>
              </w:rPr>
              <w:t>Adjusted net (loss)/profit from continuing operations</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B51CA3" w:rsidRDefault="00B51CA3" w:rsidP="004665D1">
            <w:pPr>
              <w:pStyle w:val="BodyText"/>
              <w:tabs>
                <w:tab w:val="left" w:pos="360"/>
                <w:tab w:val="left" w:pos="540"/>
                <w:tab w:val="left" w:pos="630"/>
                <w:tab w:val="left" w:pos="1080"/>
              </w:tabs>
              <w:ind w:right="-108" w:hanging="108"/>
              <w:jc w:val="center"/>
              <w:rPr>
                <w:b/>
                <w:sz w:val="20"/>
              </w:rPr>
            </w:pPr>
          </w:p>
          <w:p w:rsidR="00B51CA3" w:rsidRDefault="00B51CA3" w:rsidP="004665D1">
            <w:pPr>
              <w:pStyle w:val="BodyText"/>
              <w:tabs>
                <w:tab w:val="left" w:pos="360"/>
                <w:tab w:val="left" w:pos="540"/>
                <w:tab w:val="left" w:pos="630"/>
                <w:tab w:val="left" w:pos="1080"/>
              </w:tabs>
              <w:ind w:right="-108" w:hanging="108"/>
              <w:jc w:val="center"/>
              <w:rPr>
                <w:b/>
                <w:sz w:val="20"/>
              </w:rPr>
            </w:pPr>
          </w:p>
          <w:p w:rsidR="00B51CA3" w:rsidRDefault="00B51CA3" w:rsidP="004665D1">
            <w:pPr>
              <w:pStyle w:val="BodyText"/>
              <w:tabs>
                <w:tab w:val="left" w:pos="360"/>
                <w:tab w:val="left" w:pos="540"/>
                <w:tab w:val="left" w:pos="630"/>
                <w:tab w:val="left" w:pos="1080"/>
              </w:tabs>
              <w:ind w:right="-108" w:hanging="108"/>
              <w:jc w:val="center"/>
              <w:rPr>
                <w:b/>
                <w:sz w:val="20"/>
              </w:rPr>
            </w:pPr>
            <w:r>
              <w:rPr>
                <w:b/>
                <w:sz w:val="20"/>
              </w:rPr>
              <w:t xml:space="preserve">    (5,763)</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B51CA3" w:rsidRDefault="00B51CA3" w:rsidP="004C58AD">
            <w:pPr>
              <w:pStyle w:val="BodyText"/>
              <w:tabs>
                <w:tab w:val="left" w:pos="360"/>
                <w:tab w:val="left" w:pos="540"/>
                <w:tab w:val="left" w:pos="630"/>
                <w:tab w:val="left" w:pos="1080"/>
              </w:tabs>
              <w:ind w:right="-108" w:hanging="108"/>
              <w:jc w:val="center"/>
              <w:rPr>
                <w:sz w:val="20"/>
              </w:rPr>
            </w:pPr>
          </w:p>
          <w:p w:rsidR="00B51CA3" w:rsidRDefault="00B51CA3" w:rsidP="004C58AD">
            <w:pPr>
              <w:pStyle w:val="BodyText"/>
              <w:tabs>
                <w:tab w:val="left" w:pos="360"/>
                <w:tab w:val="left" w:pos="540"/>
                <w:tab w:val="left" w:pos="630"/>
                <w:tab w:val="left" w:pos="1080"/>
              </w:tabs>
              <w:ind w:right="-108" w:hanging="108"/>
              <w:jc w:val="center"/>
              <w:rPr>
                <w:sz w:val="20"/>
              </w:rPr>
            </w:pPr>
          </w:p>
          <w:p w:rsidR="00B51CA3" w:rsidRPr="00F94132" w:rsidRDefault="00B51CA3" w:rsidP="004C58AD">
            <w:pPr>
              <w:pStyle w:val="BodyText"/>
              <w:tabs>
                <w:tab w:val="left" w:pos="360"/>
                <w:tab w:val="left" w:pos="540"/>
                <w:tab w:val="left" w:pos="630"/>
                <w:tab w:val="left" w:pos="1080"/>
              </w:tabs>
              <w:ind w:right="-108" w:hanging="108"/>
              <w:jc w:val="center"/>
              <w:rPr>
                <w:sz w:val="20"/>
              </w:rPr>
            </w:pPr>
            <w:r>
              <w:rPr>
                <w:sz w:val="20"/>
              </w:rPr>
              <w:t xml:space="preserve">   87,350</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B51CA3" w:rsidRDefault="00B51CA3" w:rsidP="000D75A8">
            <w:pPr>
              <w:pStyle w:val="BodyText"/>
              <w:tabs>
                <w:tab w:val="left" w:pos="360"/>
                <w:tab w:val="left" w:pos="540"/>
                <w:tab w:val="left" w:pos="630"/>
                <w:tab w:val="left" w:pos="1080"/>
              </w:tabs>
              <w:ind w:right="-108" w:hanging="108"/>
              <w:jc w:val="center"/>
              <w:rPr>
                <w:b/>
                <w:sz w:val="20"/>
              </w:rPr>
            </w:pPr>
          </w:p>
          <w:p w:rsidR="00B51CA3" w:rsidRDefault="00B51CA3" w:rsidP="000D75A8">
            <w:pPr>
              <w:pStyle w:val="BodyText"/>
              <w:tabs>
                <w:tab w:val="left" w:pos="360"/>
                <w:tab w:val="left" w:pos="540"/>
                <w:tab w:val="left" w:pos="630"/>
                <w:tab w:val="left" w:pos="1080"/>
              </w:tabs>
              <w:ind w:right="-108" w:hanging="108"/>
              <w:jc w:val="center"/>
              <w:rPr>
                <w:b/>
                <w:sz w:val="20"/>
              </w:rPr>
            </w:pPr>
          </w:p>
          <w:p w:rsidR="00B51CA3" w:rsidRPr="00F85375" w:rsidRDefault="00B51CA3" w:rsidP="000D75A8">
            <w:pPr>
              <w:pStyle w:val="BodyText"/>
              <w:tabs>
                <w:tab w:val="left" w:pos="360"/>
                <w:tab w:val="left" w:pos="540"/>
                <w:tab w:val="left" w:pos="630"/>
                <w:tab w:val="left" w:pos="1080"/>
              </w:tabs>
              <w:ind w:right="-108" w:hanging="108"/>
              <w:jc w:val="center"/>
              <w:rPr>
                <w:b/>
                <w:sz w:val="20"/>
              </w:rPr>
            </w:pPr>
            <w:r>
              <w:rPr>
                <w:b/>
                <w:sz w:val="20"/>
              </w:rPr>
              <w:t xml:space="preserve"> (28,272)</w:t>
            </w:r>
          </w:p>
        </w:tc>
        <w:tc>
          <w:tcPr>
            <w:tcW w:w="1800" w:type="dxa"/>
            <w:tcBorders>
              <w:top w:val="single" w:sz="4" w:space="0" w:color="auto"/>
              <w:left w:val="single" w:sz="4" w:space="0" w:color="auto"/>
              <w:bottom w:val="single" w:sz="12" w:space="0" w:color="auto"/>
              <w:right w:val="single" w:sz="4" w:space="0" w:color="auto"/>
            </w:tcBorders>
          </w:tcPr>
          <w:p w:rsidR="00B51CA3" w:rsidRDefault="00B51CA3" w:rsidP="004C58AD">
            <w:pPr>
              <w:pStyle w:val="BodyText"/>
              <w:tabs>
                <w:tab w:val="left" w:pos="360"/>
                <w:tab w:val="left" w:pos="540"/>
                <w:tab w:val="left" w:pos="630"/>
                <w:tab w:val="left" w:pos="1080"/>
              </w:tabs>
              <w:ind w:right="-108" w:hanging="108"/>
              <w:jc w:val="center"/>
              <w:rPr>
                <w:sz w:val="20"/>
              </w:rPr>
            </w:pPr>
          </w:p>
          <w:p w:rsidR="00B51CA3" w:rsidRDefault="00B51CA3" w:rsidP="004C58AD">
            <w:pPr>
              <w:pStyle w:val="BodyText"/>
              <w:tabs>
                <w:tab w:val="left" w:pos="360"/>
                <w:tab w:val="left" w:pos="540"/>
                <w:tab w:val="left" w:pos="630"/>
                <w:tab w:val="left" w:pos="1080"/>
              </w:tabs>
              <w:ind w:right="-108" w:hanging="108"/>
              <w:jc w:val="center"/>
              <w:rPr>
                <w:sz w:val="20"/>
              </w:rPr>
            </w:pPr>
          </w:p>
          <w:p w:rsidR="00B51CA3" w:rsidRDefault="00B51CA3" w:rsidP="004C58AD">
            <w:pPr>
              <w:pStyle w:val="BodyText"/>
              <w:tabs>
                <w:tab w:val="left" w:pos="360"/>
                <w:tab w:val="left" w:pos="540"/>
                <w:tab w:val="left" w:pos="630"/>
                <w:tab w:val="left" w:pos="1080"/>
              </w:tabs>
              <w:ind w:right="-108" w:hanging="108"/>
              <w:jc w:val="center"/>
              <w:rPr>
                <w:sz w:val="20"/>
              </w:rPr>
            </w:pPr>
            <w:r>
              <w:rPr>
                <w:sz w:val="20"/>
              </w:rPr>
              <w:t xml:space="preserve">  84,584</w:t>
            </w:r>
          </w:p>
        </w:tc>
      </w:tr>
      <w:tr w:rsidR="00B51CA3" w:rsidRPr="00EE4D71" w:rsidTr="00037E75">
        <w:tc>
          <w:tcPr>
            <w:tcW w:w="2070" w:type="dxa"/>
          </w:tcPr>
          <w:p w:rsidR="00B51CA3" w:rsidRDefault="00B51CA3" w:rsidP="00FA061F">
            <w:pPr>
              <w:pStyle w:val="BodyText"/>
              <w:tabs>
                <w:tab w:val="left" w:pos="360"/>
                <w:tab w:val="left" w:pos="540"/>
                <w:tab w:val="left" w:pos="630"/>
                <w:tab w:val="left" w:pos="1080"/>
              </w:tabs>
              <w:ind w:right="-108" w:hanging="108"/>
              <w:jc w:val="left"/>
              <w:rPr>
                <w:sz w:val="20"/>
              </w:rPr>
            </w:pPr>
          </w:p>
          <w:p w:rsidR="00B51CA3" w:rsidRPr="00EE4D71" w:rsidRDefault="00B51CA3" w:rsidP="00037E75">
            <w:pPr>
              <w:pStyle w:val="BodyText"/>
              <w:tabs>
                <w:tab w:val="left" w:pos="360"/>
                <w:tab w:val="left" w:pos="540"/>
                <w:tab w:val="left" w:pos="630"/>
                <w:tab w:val="left" w:pos="1080"/>
              </w:tabs>
              <w:ind w:right="-108"/>
              <w:jc w:val="left"/>
              <w:rPr>
                <w:sz w:val="20"/>
              </w:rPr>
            </w:pPr>
          </w:p>
        </w:tc>
        <w:tc>
          <w:tcPr>
            <w:tcW w:w="1170" w:type="dxa"/>
            <w:tcBorders>
              <w:top w:val="single" w:sz="12" w:space="0" w:color="auto"/>
            </w:tcBorders>
            <w:shd w:val="clear" w:color="auto" w:fill="auto"/>
          </w:tcPr>
          <w:p w:rsidR="00B51CA3" w:rsidRDefault="00B51CA3" w:rsidP="00F94132">
            <w:pPr>
              <w:pStyle w:val="BodyText"/>
              <w:tabs>
                <w:tab w:val="left" w:pos="360"/>
                <w:tab w:val="left" w:pos="540"/>
                <w:tab w:val="left" w:pos="630"/>
                <w:tab w:val="left" w:pos="1080"/>
              </w:tabs>
              <w:ind w:right="-108" w:hanging="108"/>
              <w:jc w:val="center"/>
              <w:rPr>
                <w:b/>
                <w:sz w:val="20"/>
              </w:rPr>
            </w:pPr>
          </w:p>
          <w:p w:rsidR="00B51CA3" w:rsidRDefault="00B51CA3" w:rsidP="00F94132">
            <w:pPr>
              <w:pStyle w:val="BodyText"/>
              <w:tabs>
                <w:tab w:val="left" w:pos="360"/>
                <w:tab w:val="left" w:pos="540"/>
                <w:tab w:val="left" w:pos="630"/>
                <w:tab w:val="left" w:pos="1080"/>
              </w:tabs>
              <w:ind w:right="-108" w:hanging="108"/>
              <w:jc w:val="center"/>
              <w:rPr>
                <w:b/>
                <w:sz w:val="20"/>
              </w:rPr>
            </w:pPr>
          </w:p>
          <w:p w:rsidR="00B51CA3" w:rsidRPr="00F94132" w:rsidRDefault="00B51CA3" w:rsidP="00F94132">
            <w:pPr>
              <w:pStyle w:val="BodyText"/>
              <w:tabs>
                <w:tab w:val="left" w:pos="360"/>
                <w:tab w:val="left" w:pos="540"/>
                <w:tab w:val="left" w:pos="630"/>
                <w:tab w:val="left" w:pos="1080"/>
              </w:tabs>
              <w:ind w:right="-108" w:hanging="108"/>
              <w:jc w:val="center"/>
              <w:rPr>
                <w:b/>
                <w:sz w:val="20"/>
              </w:rPr>
            </w:pPr>
          </w:p>
        </w:tc>
        <w:tc>
          <w:tcPr>
            <w:tcW w:w="1890" w:type="dxa"/>
            <w:tcBorders>
              <w:top w:val="single" w:sz="12" w:space="0" w:color="auto"/>
            </w:tcBorders>
            <w:shd w:val="clear" w:color="auto" w:fill="auto"/>
          </w:tcPr>
          <w:p w:rsidR="00B51CA3" w:rsidRDefault="00B51CA3" w:rsidP="00307FCA">
            <w:pPr>
              <w:pStyle w:val="BodyText"/>
              <w:tabs>
                <w:tab w:val="left" w:pos="360"/>
                <w:tab w:val="left" w:pos="540"/>
                <w:tab w:val="left" w:pos="630"/>
                <w:tab w:val="left" w:pos="1080"/>
              </w:tabs>
              <w:ind w:right="-108" w:hanging="108"/>
              <w:jc w:val="center"/>
              <w:rPr>
                <w:sz w:val="20"/>
              </w:rPr>
            </w:pPr>
          </w:p>
          <w:p w:rsidR="00B51CA3" w:rsidRPr="00F94132" w:rsidRDefault="00B51CA3" w:rsidP="00307FCA">
            <w:pPr>
              <w:pStyle w:val="BodyText"/>
              <w:tabs>
                <w:tab w:val="left" w:pos="360"/>
                <w:tab w:val="left" w:pos="540"/>
                <w:tab w:val="left" w:pos="630"/>
                <w:tab w:val="left" w:pos="1080"/>
              </w:tabs>
              <w:ind w:right="-108" w:hanging="108"/>
              <w:jc w:val="center"/>
              <w:rPr>
                <w:sz w:val="20"/>
              </w:rPr>
            </w:pPr>
          </w:p>
        </w:tc>
        <w:tc>
          <w:tcPr>
            <w:tcW w:w="1170" w:type="dxa"/>
            <w:tcBorders>
              <w:top w:val="single" w:sz="12" w:space="0" w:color="auto"/>
            </w:tcBorders>
            <w:shd w:val="clear" w:color="auto" w:fill="auto"/>
          </w:tcPr>
          <w:p w:rsidR="00B51CA3" w:rsidRPr="00F94132" w:rsidRDefault="00B51CA3" w:rsidP="00F94132">
            <w:pPr>
              <w:pStyle w:val="BodyText"/>
              <w:tabs>
                <w:tab w:val="left" w:pos="360"/>
                <w:tab w:val="left" w:pos="540"/>
                <w:tab w:val="left" w:pos="630"/>
                <w:tab w:val="left" w:pos="1080"/>
              </w:tabs>
              <w:ind w:right="-108" w:hanging="108"/>
              <w:jc w:val="center"/>
              <w:rPr>
                <w:b/>
                <w:sz w:val="20"/>
              </w:rPr>
            </w:pPr>
          </w:p>
        </w:tc>
        <w:tc>
          <w:tcPr>
            <w:tcW w:w="1800" w:type="dxa"/>
            <w:tcBorders>
              <w:top w:val="single" w:sz="12" w:space="0" w:color="auto"/>
            </w:tcBorders>
          </w:tcPr>
          <w:p w:rsidR="00B51CA3" w:rsidRPr="00F94132" w:rsidRDefault="00B51CA3" w:rsidP="00307FCA">
            <w:pPr>
              <w:pStyle w:val="BodyText"/>
              <w:tabs>
                <w:tab w:val="left" w:pos="360"/>
                <w:tab w:val="left" w:pos="540"/>
                <w:tab w:val="left" w:pos="630"/>
                <w:tab w:val="left" w:pos="1080"/>
              </w:tabs>
              <w:ind w:right="-108" w:hanging="108"/>
              <w:jc w:val="center"/>
              <w:rPr>
                <w:sz w:val="20"/>
              </w:rPr>
            </w:pPr>
          </w:p>
        </w:tc>
      </w:tr>
      <w:tr w:rsidR="00B51CA3" w:rsidRPr="00EE4D71" w:rsidTr="00E44530">
        <w:trPr>
          <w:cantSplit/>
        </w:trPr>
        <w:tc>
          <w:tcPr>
            <w:tcW w:w="2070" w:type="dxa"/>
          </w:tcPr>
          <w:p w:rsidR="00B51CA3" w:rsidRPr="00EE4D71" w:rsidRDefault="00B51CA3"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B51CA3" w:rsidRPr="00EE4D71" w:rsidRDefault="00B51CA3" w:rsidP="006B5E5F">
            <w:pPr>
              <w:pStyle w:val="BodyText"/>
              <w:tabs>
                <w:tab w:val="left" w:pos="360"/>
                <w:tab w:val="left" w:pos="540"/>
                <w:tab w:val="left" w:pos="630"/>
                <w:tab w:val="left" w:pos="1080"/>
              </w:tabs>
              <w:ind w:right="-108" w:hanging="108"/>
              <w:jc w:val="center"/>
              <w:rPr>
                <w:b/>
                <w:sz w:val="18"/>
              </w:rPr>
            </w:pPr>
            <w:r w:rsidRPr="00EE4D71">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B51CA3" w:rsidRPr="00EE4D71" w:rsidRDefault="00B51CA3" w:rsidP="006B5E5F">
            <w:pPr>
              <w:pStyle w:val="BodyText"/>
              <w:tabs>
                <w:tab w:val="left" w:pos="360"/>
                <w:tab w:val="left" w:pos="540"/>
                <w:tab w:val="left" w:pos="630"/>
                <w:tab w:val="left" w:pos="1080"/>
              </w:tabs>
              <w:ind w:right="-108" w:hanging="108"/>
              <w:jc w:val="center"/>
              <w:rPr>
                <w:b/>
                <w:sz w:val="18"/>
              </w:rPr>
            </w:pPr>
            <w:r w:rsidRPr="00EE4D71">
              <w:rPr>
                <w:b/>
                <w:sz w:val="18"/>
              </w:rPr>
              <w:t>CUMULATIVE QUARTER</w:t>
            </w:r>
          </w:p>
        </w:tc>
      </w:tr>
      <w:tr w:rsidR="00B51CA3" w:rsidRPr="00EE4D71" w:rsidTr="00975EE9">
        <w:tc>
          <w:tcPr>
            <w:tcW w:w="2070" w:type="dxa"/>
          </w:tcPr>
          <w:p w:rsidR="00B51CA3" w:rsidRPr="00EE4D71" w:rsidRDefault="00B51CA3"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CURRENT</w:t>
            </w:r>
          </w:p>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YEAR</w:t>
            </w:r>
          </w:p>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QUARTER</w:t>
            </w:r>
          </w:p>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3</w:t>
            </w:r>
            <w:r>
              <w:rPr>
                <w:b/>
                <w:sz w:val="18"/>
              </w:rPr>
              <w:t>0</w:t>
            </w:r>
            <w:r w:rsidRPr="00FE3ECC">
              <w:rPr>
                <w:b/>
                <w:sz w:val="18"/>
              </w:rPr>
              <w:t>/</w:t>
            </w:r>
            <w:r>
              <w:rPr>
                <w:b/>
                <w:sz w:val="18"/>
              </w:rPr>
              <w:t>6</w:t>
            </w:r>
            <w:r w:rsidRPr="00FE3ECC">
              <w:rPr>
                <w:b/>
                <w:sz w:val="18"/>
              </w:rPr>
              <w:t>/201</w:t>
            </w:r>
            <w:r>
              <w:rPr>
                <w:b/>
                <w:sz w:val="18"/>
              </w:rPr>
              <w:t>2</w:t>
            </w:r>
          </w:p>
        </w:tc>
        <w:tc>
          <w:tcPr>
            <w:tcW w:w="1890" w:type="dxa"/>
            <w:tcBorders>
              <w:top w:val="single" w:sz="4" w:space="0" w:color="auto"/>
              <w:left w:val="single" w:sz="4" w:space="0" w:color="auto"/>
              <w:bottom w:val="single" w:sz="4" w:space="0" w:color="auto"/>
              <w:right w:val="single" w:sz="4" w:space="0" w:color="auto"/>
            </w:tcBorders>
          </w:tcPr>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PRECEDING YEAR</w:t>
            </w:r>
          </w:p>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CORRESPONDING</w:t>
            </w:r>
          </w:p>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QUARTER</w:t>
            </w:r>
          </w:p>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3</w:t>
            </w:r>
            <w:r>
              <w:rPr>
                <w:b/>
                <w:sz w:val="18"/>
              </w:rPr>
              <w:t>0</w:t>
            </w:r>
            <w:r w:rsidRPr="00FE3ECC">
              <w:rPr>
                <w:b/>
                <w:sz w:val="18"/>
              </w:rPr>
              <w:t>/</w:t>
            </w:r>
            <w:r>
              <w:rPr>
                <w:b/>
                <w:sz w:val="18"/>
              </w:rPr>
              <w:t>6</w:t>
            </w:r>
            <w:r w:rsidRPr="00FE3ECC">
              <w:rPr>
                <w:b/>
                <w:sz w:val="18"/>
              </w:rPr>
              <w:t>/201</w:t>
            </w:r>
            <w:r>
              <w:rPr>
                <w:b/>
                <w:sz w:val="18"/>
              </w:rPr>
              <w:t>1</w:t>
            </w:r>
          </w:p>
        </w:tc>
        <w:tc>
          <w:tcPr>
            <w:tcW w:w="1170" w:type="dxa"/>
            <w:tcBorders>
              <w:top w:val="single" w:sz="4" w:space="0" w:color="auto"/>
              <w:left w:val="single" w:sz="4" w:space="0" w:color="auto"/>
              <w:bottom w:val="single" w:sz="4" w:space="0" w:color="auto"/>
              <w:right w:val="single" w:sz="4" w:space="0" w:color="auto"/>
            </w:tcBorders>
          </w:tcPr>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CURRENT</w:t>
            </w:r>
          </w:p>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YEAR TO DATE</w:t>
            </w:r>
          </w:p>
          <w:p w:rsidR="00B51CA3" w:rsidRPr="00FE3ECC" w:rsidRDefault="00B51CA3" w:rsidP="005F46D0">
            <w:pPr>
              <w:pStyle w:val="BodyText"/>
              <w:tabs>
                <w:tab w:val="left" w:pos="360"/>
                <w:tab w:val="left" w:pos="540"/>
                <w:tab w:val="left" w:pos="630"/>
                <w:tab w:val="left" w:pos="1080"/>
              </w:tabs>
              <w:ind w:right="-108" w:hanging="108"/>
              <w:jc w:val="center"/>
              <w:rPr>
                <w:b/>
                <w:sz w:val="18"/>
              </w:rPr>
            </w:pPr>
            <w:r w:rsidRPr="00FE3ECC">
              <w:rPr>
                <w:b/>
                <w:sz w:val="18"/>
              </w:rPr>
              <w:t>3</w:t>
            </w:r>
            <w:r>
              <w:rPr>
                <w:b/>
                <w:sz w:val="18"/>
              </w:rPr>
              <w:t>0</w:t>
            </w:r>
            <w:r w:rsidRPr="00FE3ECC">
              <w:rPr>
                <w:b/>
                <w:sz w:val="18"/>
              </w:rPr>
              <w:t>/</w:t>
            </w:r>
            <w:r>
              <w:rPr>
                <w:b/>
                <w:sz w:val="18"/>
              </w:rPr>
              <w:t>6</w:t>
            </w:r>
            <w:r w:rsidRPr="00FE3ECC">
              <w:rPr>
                <w:b/>
                <w:sz w:val="18"/>
              </w:rPr>
              <w:t>/201</w:t>
            </w:r>
            <w:r>
              <w:rPr>
                <w:b/>
                <w:sz w:val="18"/>
              </w:rPr>
              <w:t>2</w:t>
            </w:r>
          </w:p>
        </w:tc>
        <w:tc>
          <w:tcPr>
            <w:tcW w:w="1800" w:type="dxa"/>
            <w:tcBorders>
              <w:left w:val="nil"/>
              <w:bottom w:val="single" w:sz="4" w:space="0" w:color="auto"/>
              <w:right w:val="single" w:sz="4" w:space="0" w:color="auto"/>
            </w:tcBorders>
          </w:tcPr>
          <w:p w:rsidR="00B51CA3" w:rsidRDefault="00B51CA3" w:rsidP="005F46D0">
            <w:pPr>
              <w:pStyle w:val="BodyText"/>
              <w:tabs>
                <w:tab w:val="left" w:pos="360"/>
                <w:tab w:val="left" w:pos="540"/>
                <w:tab w:val="left" w:pos="630"/>
                <w:tab w:val="left" w:pos="1080"/>
              </w:tabs>
              <w:ind w:right="-108" w:hanging="108"/>
              <w:jc w:val="center"/>
              <w:rPr>
                <w:b/>
                <w:sz w:val="18"/>
              </w:rPr>
            </w:pPr>
            <w:r>
              <w:rPr>
                <w:b/>
                <w:sz w:val="18"/>
              </w:rPr>
              <w:t>PRECEDING YEAR</w:t>
            </w:r>
          </w:p>
          <w:p w:rsidR="00B51CA3" w:rsidRDefault="00B51CA3" w:rsidP="005F46D0">
            <w:pPr>
              <w:pStyle w:val="BodyText"/>
              <w:tabs>
                <w:tab w:val="left" w:pos="360"/>
                <w:tab w:val="left" w:pos="540"/>
                <w:tab w:val="left" w:pos="630"/>
                <w:tab w:val="left" w:pos="1080"/>
              </w:tabs>
              <w:ind w:right="-108" w:hanging="108"/>
              <w:jc w:val="center"/>
              <w:rPr>
                <w:b/>
                <w:sz w:val="18"/>
              </w:rPr>
            </w:pPr>
            <w:r>
              <w:rPr>
                <w:b/>
                <w:sz w:val="18"/>
              </w:rPr>
              <w:t>CORRESPONDING</w:t>
            </w:r>
          </w:p>
          <w:p w:rsidR="00B51CA3" w:rsidRDefault="00B51CA3" w:rsidP="005F46D0">
            <w:pPr>
              <w:pStyle w:val="BodyText"/>
              <w:tabs>
                <w:tab w:val="left" w:pos="360"/>
                <w:tab w:val="left" w:pos="540"/>
                <w:tab w:val="left" w:pos="630"/>
                <w:tab w:val="left" w:pos="1080"/>
              </w:tabs>
              <w:ind w:right="-108" w:hanging="108"/>
              <w:jc w:val="center"/>
              <w:rPr>
                <w:b/>
                <w:sz w:val="18"/>
              </w:rPr>
            </w:pPr>
            <w:r>
              <w:rPr>
                <w:b/>
                <w:sz w:val="18"/>
              </w:rPr>
              <w:t>PERIOD</w:t>
            </w:r>
          </w:p>
          <w:p w:rsidR="00B51CA3" w:rsidRDefault="00B51CA3" w:rsidP="005F46D0">
            <w:pPr>
              <w:pStyle w:val="BodyText"/>
              <w:tabs>
                <w:tab w:val="left" w:pos="360"/>
                <w:tab w:val="left" w:pos="540"/>
                <w:tab w:val="left" w:pos="702"/>
                <w:tab w:val="left" w:pos="1080"/>
              </w:tabs>
              <w:ind w:right="-108" w:hanging="108"/>
              <w:jc w:val="center"/>
              <w:rPr>
                <w:b/>
                <w:sz w:val="18"/>
              </w:rPr>
            </w:pPr>
            <w:r>
              <w:rPr>
                <w:b/>
                <w:sz w:val="18"/>
              </w:rPr>
              <w:t>30/6/2011</w:t>
            </w:r>
          </w:p>
        </w:tc>
      </w:tr>
      <w:tr w:rsidR="00B51CA3" w:rsidRPr="00EE4D71" w:rsidTr="00975EE9">
        <w:tc>
          <w:tcPr>
            <w:tcW w:w="2070" w:type="dxa"/>
            <w:tcBorders>
              <w:right w:val="single" w:sz="4" w:space="0" w:color="auto"/>
            </w:tcBorders>
          </w:tcPr>
          <w:p w:rsidR="00B51CA3" w:rsidRPr="00EE4D71" w:rsidRDefault="00B51CA3"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B51CA3" w:rsidRPr="00587F6F" w:rsidRDefault="00B51CA3" w:rsidP="00491580">
            <w:pPr>
              <w:pStyle w:val="BodyText"/>
              <w:tabs>
                <w:tab w:val="left" w:pos="360"/>
                <w:tab w:val="left" w:pos="540"/>
                <w:tab w:val="left" w:pos="630"/>
                <w:tab w:val="left" w:pos="1080"/>
              </w:tabs>
              <w:ind w:right="-450" w:hanging="1800"/>
              <w:jc w:val="right"/>
              <w:rPr>
                <w:sz w:val="20"/>
                <w:highlight w:val="yellow"/>
              </w:rPr>
            </w:pPr>
          </w:p>
        </w:tc>
        <w:tc>
          <w:tcPr>
            <w:tcW w:w="1890" w:type="dxa"/>
            <w:tcBorders>
              <w:top w:val="single" w:sz="4" w:space="0" w:color="auto"/>
              <w:left w:val="single" w:sz="4" w:space="0" w:color="auto"/>
              <w:right w:val="single" w:sz="4" w:space="0" w:color="auto"/>
            </w:tcBorders>
          </w:tcPr>
          <w:p w:rsidR="00B51CA3" w:rsidRPr="00EE4D71" w:rsidRDefault="00B51CA3" w:rsidP="00307FCA">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B51CA3" w:rsidRPr="00587F6F" w:rsidRDefault="00B51CA3" w:rsidP="00491580">
            <w:pPr>
              <w:pStyle w:val="BodyText"/>
              <w:tabs>
                <w:tab w:val="left" w:pos="360"/>
                <w:tab w:val="left" w:pos="540"/>
                <w:tab w:val="left" w:pos="630"/>
                <w:tab w:val="left" w:pos="1080"/>
              </w:tabs>
              <w:ind w:right="-450" w:hanging="1800"/>
              <w:jc w:val="right"/>
              <w:rPr>
                <w:sz w:val="20"/>
                <w:highlight w:val="yellow"/>
              </w:rPr>
            </w:pPr>
          </w:p>
        </w:tc>
        <w:tc>
          <w:tcPr>
            <w:tcW w:w="1800" w:type="dxa"/>
            <w:tcBorders>
              <w:top w:val="single" w:sz="4" w:space="0" w:color="auto"/>
              <w:left w:val="single" w:sz="4" w:space="0" w:color="auto"/>
              <w:right w:val="single" w:sz="4" w:space="0" w:color="auto"/>
            </w:tcBorders>
          </w:tcPr>
          <w:p w:rsidR="00B51CA3" w:rsidRPr="00EE4D71" w:rsidRDefault="00B51CA3" w:rsidP="00491580">
            <w:pPr>
              <w:pStyle w:val="BodyText"/>
              <w:tabs>
                <w:tab w:val="left" w:pos="360"/>
                <w:tab w:val="left" w:pos="540"/>
                <w:tab w:val="left" w:pos="630"/>
                <w:tab w:val="left" w:pos="1080"/>
              </w:tabs>
              <w:ind w:right="-450" w:hanging="1800"/>
              <w:jc w:val="right"/>
              <w:rPr>
                <w:sz w:val="20"/>
              </w:rPr>
            </w:pPr>
          </w:p>
        </w:tc>
      </w:tr>
      <w:tr w:rsidR="00B51CA3" w:rsidRPr="00EE4D71" w:rsidTr="00975EE9">
        <w:tc>
          <w:tcPr>
            <w:tcW w:w="2070" w:type="dxa"/>
            <w:tcBorders>
              <w:right w:val="single" w:sz="4" w:space="0" w:color="auto"/>
            </w:tcBorders>
          </w:tcPr>
          <w:p w:rsidR="00B51CA3" w:rsidRPr="00EE4D71" w:rsidRDefault="00B51CA3" w:rsidP="006B5E5F">
            <w:pPr>
              <w:pStyle w:val="BodyText"/>
              <w:tabs>
                <w:tab w:val="left" w:pos="360"/>
                <w:tab w:val="left" w:pos="540"/>
                <w:tab w:val="left" w:pos="630"/>
                <w:tab w:val="left" w:pos="1080"/>
              </w:tabs>
              <w:ind w:left="-108" w:right="-108"/>
              <w:jc w:val="left"/>
              <w:rPr>
                <w:sz w:val="20"/>
              </w:rPr>
            </w:pPr>
            <w:r w:rsidRPr="00EE4D71">
              <w:rPr>
                <w:sz w:val="20"/>
              </w:rPr>
              <w:t>Number of ordinary shares in issue ('000)</w:t>
            </w:r>
          </w:p>
        </w:tc>
        <w:tc>
          <w:tcPr>
            <w:tcW w:w="1170" w:type="dxa"/>
            <w:tcBorders>
              <w:left w:val="single" w:sz="4" w:space="0" w:color="auto"/>
              <w:right w:val="single" w:sz="4" w:space="0" w:color="auto"/>
            </w:tcBorders>
          </w:tcPr>
          <w:p w:rsidR="00B51CA3" w:rsidRPr="00F85375" w:rsidRDefault="00B51CA3" w:rsidP="00A21A4D">
            <w:pPr>
              <w:pStyle w:val="BodyText"/>
              <w:tabs>
                <w:tab w:val="left" w:pos="360"/>
                <w:tab w:val="left" w:pos="540"/>
                <w:tab w:val="left" w:pos="630"/>
                <w:tab w:val="left" w:pos="1062"/>
              </w:tabs>
              <w:ind w:left="-108" w:right="-108"/>
              <w:jc w:val="center"/>
              <w:rPr>
                <w:b/>
                <w:sz w:val="20"/>
              </w:rPr>
            </w:pPr>
            <w:r w:rsidRPr="00F85375">
              <w:rPr>
                <w:b/>
                <w:sz w:val="20"/>
              </w:rPr>
              <w:t>570,050</w:t>
            </w:r>
          </w:p>
        </w:tc>
        <w:tc>
          <w:tcPr>
            <w:tcW w:w="1890" w:type="dxa"/>
            <w:tcBorders>
              <w:left w:val="single" w:sz="4" w:space="0" w:color="auto"/>
              <w:right w:val="single" w:sz="4" w:space="0" w:color="auto"/>
            </w:tcBorders>
          </w:tcPr>
          <w:p w:rsidR="00B51CA3" w:rsidRPr="00F85375" w:rsidRDefault="00B51CA3" w:rsidP="00307FCA">
            <w:pPr>
              <w:pStyle w:val="BodyText"/>
              <w:tabs>
                <w:tab w:val="left" w:pos="360"/>
                <w:tab w:val="left" w:pos="540"/>
                <w:tab w:val="left" w:pos="630"/>
                <w:tab w:val="left" w:pos="1062"/>
              </w:tabs>
              <w:ind w:left="-108" w:right="-108"/>
              <w:jc w:val="center"/>
              <w:rPr>
                <w:sz w:val="20"/>
              </w:rPr>
            </w:pPr>
            <w:r w:rsidRPr="00F85375">
              <w:rPr>
                <w:sz w:val="20"/>
              </w:rPr>
              <w:t>570,050</w:t>
            </w:r>
          </w:p>
        </w:tc>
        <w:tc>
          <w:tcPr>
            <w:tcW w:w="1170" w:type="dxa"/>
            <w:tcBorders>
              <w:left w:val="single" w:sz="4" w:space="0" w:color="auto"/>
              <w:right w:val="single" w:sz="4" w:space="0" w:color="auto"/>
            </w:tcBorders>
          </w:tcPr>
          <w:p w:rsidR="00B51CA3" w:rsidRPr="00F85375" w:rsidRDefault="00B51CA3" w:rsidP="006B5E5F">
            <w:pPr>
              <w:pStyle w:val="BodyText"/>
              <w:tabs>
                <w:tab w:val="left" w:pos="360"/>
                <w:tab w:val="left" w:pos="540"/>
                <w:tab w:val="left" w:pos="630"/>
                <w:tab w:val="left" w:pos="1062"/>
              </w:tabs>
              <w:ind w:left="-108" w:right="-108"/>
              <w:jc w:val="center"/>
              <w:rPr>
                <w:b/>
                <w:sz w:val="20"/>
              </w:rPr>
            </w:pPr>
            <w:r w:rsidRPr="00F85375">
              <w:rPr>
                <w:b/>
                <w:sz w:val="20"/>
              </w:rPr>
              <w:t>570,050</w:t>
            </w:r>
          </w:p>
        </w:tc>
        <w:tc>
          <w:tcPr>
            <w:tcW w:w="1800" w:type="dxa"/>
            <w:tcBorders>
              <w:left w:val="single" w:sz="4" w:space="0" w:color="auto"/>
              <w:right w:val="single" w:sz="4" w:space="0" w:color="auto"/>
            </w:tcBorders>
          </w:tcPr>
          <w:p w:rsidR="00B51CA3" w:rsidRPr="00EE4D71" w:rsidRDefault="00B51CA3" w:rsidP="006B5E5F">
            <w:pPr>
              <w:pStyle w:val="BodyText"/>
              <w:tabs>
                <w:tab w:val="left" w:pos="360"/>
                <w:tab w:val="left" w:pos="540"/>
                <w:tab w:val="left" w:pos="630"/>
                <w:tab w:val="left" w:pos="1062"/>
              </w:tabs>
              <w:ind w:left="-108" w:right="-108"/>
              <w:jc w:val="center"/>
              <w:rPr>
                <w:sz w:val="20"/>
              </w:rPr>
            </w:pPr>
            <w:r w:rsidRPr="00EE4D71">
              <w:rPr>
                <w:sz w:val="20"/>
              </w:rPr>
              <w:t>570,050</w:t>
            </w:r>
          </w:p>
        </w:tc>
      </w:tr>
      <w:tr w:rsidR="00B51CA3" w:rsidRPr="00EE4D71" w:rsidTr="00975EE9">
        <w:tc>
          <w:tcPr>
            <w:tcW w:w="2070" w:type="dxa"/>
            <w:tcBorders>
              <w:right w:val="single" w:sz="4" w:space="0" w:color="auto"/>
            </w:tcBorders>
          </w:tcPr>
          <w:p w:rsidR="00B51CA3" w:rsidRPr="00EE4D71" w:rsidRDefault="00B51CA3" w:rsidP="006B5E5F">
            <w:pPr>
              <w:pStyle w:val="BodyText"/>
              <w:tabs>
                <w:tab w:val="left" w:pos="360"/>
                <w:tab w:val="left" w:pos="540"/>
                <w:tab w:val="left" w:pos="630"/>
                <w:tab w:val="left" w:pos="1080"/>
              </w:tabs>
              <w:ind w:left="-108" w:right="-108"/>
              <w:jc w:val="left"/>
              <w:rPr>
                <w:sz w:val="20"/>
              </w:rPr>
            </w:pPr>
          </w:p>
        </w:tc>
        <w:tc>
          <w:tcPr>
            <w:tcW w:w="1170" w:type="dxa"/>
            <w:tcBorders>
              <w:left w:val="single" w:sz="4" w:space="0" w:color="auto"/>
              <w:right w:val="single" w:sz="4" w:space="0" w:color="auto"/>
            </w:tcBorders>
          </w:tcPr>
          <w:p w:rsidR="00B51CA3" w:rsidRPr="00F85375" w:rsidRDefault="00B51CA3" w:rsidP="00A21A4D">
            <w:pPr>
              <w:pStyle w:val="BodyText"/>
              <w:tabs>
                <w:tab w:val="left" w:pos="360"/>
                <w:tab w:val="left" w:pos="540"/>
                <w:tab w:val="left" w:pos="630"/>
                <w:tab w:val="left" w:pos="1062"/>
              </w:tabs>
              <w:ind w:left="-108" w:right="-108"/>
              <w:jc w:val="center"/>
              <w:rPr>
                <w:b/>
                <w:sz w:val="20"/>
              </w:rPr>
            </w:pPr>
          </w:p>
        </w:tc>
        <w:tc>
          <w:tcPr>
            <w:tcW w:w="1890" w:type="dxa"/>
            <w:tcBorders>
              <w:left w:val="single" w:sz="4" w:space="0" w:color="auto"/>
              <w:right w:val="single" w:sz="4" w:space="0" w:color="auto"/>
            </w:tcBorders>
          </w:tcPr>
          <w:p w:rsidR="00B51CA3" w:rsidRPr="00F85375" w:rsidRDefault="00B51CA3" w:rsidP="00307FCA">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B51CA3" w:rsidRPr="00F85375" w:rsidRDefault="00B51CA3" w:rsidP="006B5E5F">
            <w:pPr>
              <w:pStyle w:val="BodyText"/>
              <w:tabs>
                <w:tab w:val="left" w:pos="360"/>
                <w:tab w:val="left" w:pos="540"/>
                <w:tab w:val="left" w:pos="630"/>
                <w:tab w:val="left" w:pos="1062"/>
              </w:tabs>
              <w:ind w:left="-108" w:right="-108"/>
              <w:jc w:val="center"/>
              <w:rPr>
                <w:b/>
                <w:sz w:val="20"/>
              </w:rPr>
            </w:pPr>
          </w:p>
        </w:tc>
        <w:tc>
          <w:tcPr>
            <w:tcW w:w="1800" w:type="dxa"/>
            <w:tcBorders>
              <w:left w:val="single" w:sz="4" w:space="0" w:color="auto"/>
              <w:right w:val="single" w:sz="4" w:space="0" w:color="auto"/>
            </w:tcBorders>
          </w:tcPr>
          <w:p w:rsidR="00B51CA3" w:rsidRPr="00EE4D71" w:rsidRDefault="00B51CA3" w:rsidP="006B5E5F">
            <w:pPr>
              <w:pStyle w:val="BodyText"/>
              <w:tabs>
                <w:tab w:val="left" w:pos="360"/>
                <w:tab w:val="left" w:pos="540"/>
                <w:tab w:val="left" w:pos="630"/>
                <w:tab w:val="left" w:pos="1062"/>
              </w:tabs>
              <w:ind w:left="-108" w:right="-108"/>
              <w:jc w:val="center"/>
              <w:rPr>
                <w:sz w:val="20"/>
              </w:rPr>
            </w:pPr>
          </w:p>
        </w:tc>
      </w:tr>
      <w:tr w:rsidR="00FE0F58" w:rsidRPr="00EE4D71" w:rsidTr="00975EE9">
        <w:tc>
          <w:tcPr>
            <w:tcW w:w="2070" w:type="dxa"/>
            <w:tcBorders>
              <w:right w:val="single" w:sz="4" w:space="0" w:color="auto"/>
            </w:tcBorders>
          </w:tcPr>
          <w:p w:rsidR="00FE0F58" w:rsidRPr="00EE4D71" w:rsidRDefault="00FE0F58" w:rsidP="00FE0F58">
            <w:pPr>
              <w:pStyle w:val="BodyText"/>
              <w:tabs>
                <w:tab w:val="left" w:pos="360"/>
                <w:tab w:val="left" w:pos="540"/>
                <w:tab w:val="left" w:pos="630"/>
                <w:tab w:val="left" w:pos="1080"/>
              </w:tabs>
              <w:ind w:left="-108" w:right="-108"/>
              <w:jc w:val="left"/>
              <w:rPr>
                <w:sz w:val="20"/>
              </w:rPr>
            </w:pPr>
            <w:r>
              <w:rPr>
                <w:sz w:val="20"/>
              </w:rPr>
              <w:t>On f</w:t>
            </w:r>
            <w:r w:rsidRPr="00EE4D71">
              <w:rPr>
                <w:sz w:val="20"/>
              </w:rPr>
              <w:t xml:space="preserve">ull conversion of </w:t>
            </w:r>
            <w:r>
              <w:rPr>
                <w:sz w:val="20"/>
              </w:rPr>
              <w:t xml:space="preserve">RCSLS </w:t>
            </w:r>
            <w:r w:rsidRPr="00EE4D71">
              <w:rPr>
                <w:sz w:val="20"/>
              </w:rPr>
              <w:t xml:space="preserve">(’000): </w:t>
            </w:r>
          </w:p>
        </w:tc>
        <w:tc>
          <w:tcPr>
            <w:tcW w:w="1170" w:type="dxa"/>
            <w:tcBorders>
              <w:left w:val="single" w:sz="4" w:space="0" w:color="auto"/>
              <w:right w:val="single" w:sz="4" w:space="0" w:color="auto"/>
            </w:tcBorders>
          </w:tcPr>
          <w:p w:rsidR="00FE0F58" w:rsidRDefault="00FE0F58" w:rsidP="004E21B0">
            <w:pPr>
              <w:pStyle w:val="BodyText"/>
              <w:tabs>
                <w:tab w:val="left" w:pos="360"/>
                <w:tab w:val="left" w:pos="540"/>
                <w:tab w:val="left" w:pos="630"/>
                <w:tab w:val="left" w:pos="1062"/>
              </w:tabs>
              <w:ind w:left="-108" w:right="-108"/>
              <w:jc w:val="center"/>
              <w:rPr>
                <w:b/>
                <w:sz w:val="20"/>
              </w:rPr>
            </w:pPr>
            <w:r w:rsidRPr="00F85375">
              <w:rPr>
                <w:b/>
                <w:sz w:val="20"/>
              </w:rPr>
              <w:t xml:space="preserve">   </w:t>
            </w:r>
          </w:p>
          <w:p w:rsidR="00FE0F58" w:rsidRPr="00F85375" w:rsidRDefault="00FE0F58" w:rsidP="004E21B0">
            <w:pPr>
              <w:pStyle w:val="BodyText"/>
              <w:tabs>
                <w:tab w:val="left" w:pos="360"/>
                <w:tab w:val="left" w:pos="540"/>
                <w:tab w:val="left" w:pos="630"/>
                <w:tab w:val="left" w:pos="1062"/>
              </w:tabs>
              <w:ind w:left="-108" w:right="-108"/>
              <w:jc w:val="center"/>
              <w:rPr>
                <w:b/>
                <w:sz w:val="20"/>
              </w:rPr>
            </w:pPr>
            <w:r>
              <w:rPr>
                <w:b/>
                <w:sz w:val="20"/>
              </w:rPr>
              <w:t xml:space="preserve">   </w:t>
            </w:r>
            <w:r w:rsidRPr="00F85375">
              <w:rPr>
                <w:b/>
                <w:sz w:val="20"/>
              </w:rPr>
              <w:t>78,877</w:t>
            </w:r>
          </w:p>
        </w:tc>
        <w:tc>
          <w:tcPr>
            <w:tcW w:w="1890" w:type="dxa"/>
            <w:tcBorders>
              <w:left w:val="single" w:sz="4" w:space="0" w:color="auto"/>
              <w:right w:val="single" w:sz="4" w:space="0" w:color="auto"/>
            </w:tcBorders>
          </w:tcPr>
          <w:p w:rsidR="00FE0F58" w:rsidRDefault="00FE0F58" w:rsidP="004E21B0">
            <w:pPr>
              <w:pStyle w:val="BodyText"/>
              <w:tabs>
                <w:tab w:val="left" w:pos="360"/>
                <w:tab w:val="left" w:pos="540"/>
                <w:tab w:val="left" w:pos="630"/>
                <w:tab w:val="left" w:pos="1062"/>
              </w:tabs>
              <w:ind w:left="-108" w:right="-108"/>
              <w:jc w:val="center"/>
              <w:rPr>
                <w:sz w:val="20"/>
              </w:rPr>
            </w:pPr>
            <w:r w:rsidRPr="00F85375">
              <w:rPr>
                <w:sz w:val="20"/>
              </w:rPr>
              <w:t xml:space="preserve">   </w:t>
            </w:r>
          </w:p>
          <w:p w:rsidR="00FE0F58" w:rsidRPr="00F85375" w:rsidRDefault="00FE0F58" w:rsidP="004E21B0">
            <w:pPr>
              <w:pStyle w:val="BodyText"/>
              <w:tabs>
                <w:tab w:val="left" w:pos="360"/>
                <w:tab w:val="left" w:pos="540"/>
                <w:tab w:val="left" w:pos="630"/>
                <w:tab w:val="left" w:pos="1062"/>
              </w:tabs>
              <w:ind w:left="-108" w:right="-108"/>
              <w:jc w:val="center"/>
              <w:rPr>
                <w:sz w:val="20"/>
              </w:rPr>
            </w:pPr>
            <w:r>
              <w:rPr>
                <w:sz w:val="20"/>
              </w:rPr>
              <w:t xml:space="preserve">   </w:t>
            </w:r>
            <w:r w:rsidRPr="00F85375">
              <w:rPr>
                <w:sz w:val="20"/>
              </w:rPr>
              <w:t>76,835</w:t>
            </w:r>
          </w:p>
        </w:tc>
        <w:tc>
          <w:tcPr>
            <w:tcW w:w="1170" w:type="dxa"/>
            <w:tcBorders>
              <w:left w:val="single" w:sz="4" w:space="0" w:color="auto"/>
              <w:right w:val="single" w:sz="4" w:space="0" w:color="auto"/>
            </w:tcBorders>
          </w:tcPr>
          <w:p w:rsidR="00FE0F58" w:rsidRDefault="00FE0F58" w:rsidP="004E21B0">
            <w:pPr>
              <w:pStyle w:val="BodyText"/>
              <w:tabs>
                <w:tab w:val="left" w:pos="360"/>
                <w:tab w:val="left" w:pos="540"/>
                <w:tab w:val="left" w:pos="630"/>
                <w:tab w:val="left" w:pos="1062"/>
              </w:tabs>
              <w:ind w:left="-108" w:right="-108"/>
              <w:jc w:val="center"/>
              <w:rPr>
                <w:b/>
                <w:sz w:val="20"/>
              </w:rPr>
            </w:pPr>
            <w:r w:rsidRPr="00F85375">
              <w:rPr>
                <w:b/>
                <w:sz w:val="20"/>
              </w:rPr>
              <w:t xml:space="preserve">   </w:t>
            </w:r>
          </w:p>
          <w:p w:rsidR="00FE0F58" w:rsidRPr="00F85375" w:rsidRDefault="00FE0F58" w:rsidP="004E21B0">
            <w:pPr>
              <w:pStyle w:val="BodyText"/>
              <w:tabs>
                <w:tab w:val="left" w:pos="360"/>
                <w:tab w:val="left" w:pos="540"/>
                <w:tab w:val="left" w:pos="630"/>
                <w:tab w:val="left" w:pos="1062"/>
              </w:tabs>
              <w:ind w:left="-108" w:right="-108"/>
              <w:jc w:val="center"/>
              <w:rPr>
                <w:b/>
                <w:sz w:val="20"/>
              </w:rPr>
            </w:pPr>
            <w:r>
              <w:rPr>
                <w:b/>
                <w:sz w:val="20"/>
              </w:rPr>
              <w:t xml:space="preserve">   </w:t>
            </w:r>
            <w:r w:rsidRPr="00F85375">
              <w:rPr>
                <w:b/>
                <w:sz w:val="20"/>
              </w:rPr>
              <w:t>78,877</w:t>
            </w:r>
          </w:p>
        </w:tc>
        <w:tc>
          <w:tcPr>
            <w:tcW w:w="1800" w:type="dxa"/>
            <w:tcBorders>
              <w:left w:val="single" w:sz="4" w:space="0" w:color="auto"/>
              <w:right w:val="single" w:sz="4" w:space="0" w:color="auto"/>
            </w:tcBorders>
          </w:tcPr>
          <w:p w:rsidR="00FE0F58" w:rsidRDefault="00FE0F58" w:rsidP="004E21B0">
            <w:pPr>
              <w:pStyle w:val="BodyText"/>
              <w:tabs>
                <w:tab w:val="left" w:pos="360"/>
                <w:tab w:val="left" w:pos="540"/>
                <w:tab w:val="left" w:pos="630"/>
                <w:tab w:val="left" w:pos="1062"/>
              </w:tabs>
              <w:ind w:left="-108" w:right="-108"/>
              <w:jc w:val="center"/>
              <w:rPr>
                <w:sz w:val="20"/>
              </w:rPr>
            </w:pPr>
            <w:r w:rsidRPr="00EE4D71">
              <w:rPr>
                <w:sz w:val="20"/>
              </w:rPr>
              <w:t xml:space="preserve">  </w:t>
            </w:r>
          </w:p>
          <w:p w:rsidR="00FE0F58" w:rsidRPr="00EE4D71" w:rsidRDefault="00FE0F58" w:rsidP="004E21B0">
            <w:pPr>
              <w:pStyle w:val="BodyText"/>
              <w:tabs>
                <w:tab w:val="left" w:pos="360"/>
                <w:tab w:val="left" w:pos="540"/>
                <w:tab w:val="left" w:pos="630"/>
                <w:tab w:val="left" w:pos="1062"/>
              </w:tabs>
              <w:ind w:left="-108" w:right="-108"/>
              <w:jc w:val="center"/>
              <w:rPr>
                <w:sz w:val="20"/>
              </w:rPr>
            </w:pPr>
            <w:r>
              <w:rPr>
                <w:sz w:val="20"/>
              </w:rPr>
              <w:t xml:space="preserve">  </w:t>
            </w:r>
            <w:r w:rsidRPr="00EE4D71">
              <w:rPr>
                <w:sz w:val="20"/>
              </w:rPr>
              <w:t xml:space="preserve"> </w:t>
            </w:r>
            <w:r>
              <w:rPr>
                <w:sz w:val="20"/>
              </w:rPr>
              <w:t>76,835</w:t>
            </w:r>
          </w:p>
        </w:tc>
      </w:tr>
      <w:tr w:rsidR="00FE0F58" w:rsidRPr="00EE4D71" w:rsidTr="00975EE9">
        <w:tc>
          <w:tcPr>
            <w:tcW w:w="2070" w:type="dxa"/>
            <w:tcBorders>
              <w:right w:val="single" w:sz="4" w:space="0" w:color="auto"/>
            </w:tcBorders>
          </w:tcPr>
          <w:p w:rsidR="00FE0F58" w:rsidRPr="00EE4D71" w:rsidRDefault="00FE0F58" w:rsidP="006B5E5F">
            <w:pPr>
              <w:pStyle w:val="BodyText"/>
              <w:tabs>
                <w:tab w:val="left" w:pos="360"/>
                <w:tab w:val="left" w:pos="540"/>
                <w:tab w:val="left" w:pos="630"/>
                <w:tab w:val="left" w:pos="1080"/>
              </w:tabs>
              <w:ind w:left="-108" w:right="-108"/>
              <w:jc w:val="left"/>
              <w:rPr>
                <w:sz w:val="20"/>
              </w:rPr>
            </w:pPr>
            <w:r w:rsidRPr="00EE4D71">
              <w:rPr>
                <w:sz w:val="20"/>
              </w:rPr>
              <w:t>Weighted average number of ordinary shares in issue and to be issued on conversion of RCSLS (’000)</w:t>
            </w:r>
          </w:p>
        </w:tc>
        <w:tc>
          <w:tcPr>
            <w:tcW w:w="1170" w:type="dxa"/>
            <w:tcBorders>
              <w:top w:val="single" w:sz="8" w:space="0" w:color="auto"/>
              <w:left w:val="single" w:sz="4" w:space="0" w:color="auto"/>
              <w:bottom w:val="single" w:sz="12" w:space="0" w:color="auto"/>
              <w:right w:val="single" w:sz="4" w:space="0" w:color="auto"/>
            </w:tcBorders>
          </w:tcPr>
          <w:p w:rsidR="00FE0F58" w:rsidRPr="00F85375" w:rsidRDefault="00FE0F58" w:rsidP="00A21A4D">
            <w:pPr>
              <w:pStyle w:val="BodyText"/>
              <w:tabs>
                <w:tab w:val="left" w:pos="360"/>
                <w:tab w:val="left" w:pos="540"/>
                <w:tab w:val="left" w:pos="630"/>
                <w:tab w:val="left" w:pos="1062"/>
              </w:tabs>
              <w:ind w:left="-108" w:right="-108"/>
              <w:jc w:val="center"/>
              <w:rPr>
                <w:b/>
                <w:sz w:val="20"/>
              </w:rPr>
            </w:pPr>
          </w:p>
          <w:p w:rsidR="00FE0F58" w:rsidRPr="00F85375" w:rsidRDefault="00FE0F58" w:rsidP="00A21A4D">
            <w:pPr>
              <w:pStyle w:val="BodyText"/>
              <w:tabs>
                <w:tab w:val="left" w:pos="360"/>
                <w:tab w:val="left" w:pos="540"/>
                <w:tab w:val="left" w:pos="630"/>
                <w:tab w:val="left" w:pos="1062"/>
              </w:tabs>
              <w:ind w:left="-108" w:right="-108"/>
              <w:jc w:val="center"/>
              <w:rPr>
                <w:b/>
                <w:sz w:val="20"/>
              </w:rPr>
            </w:pPr>
          </w:p>
          <w:p w:rsidR="00FE0F58" w:rsidRPr="00F85375" w:rsidRDefault="00FE0F58" w:rsidP="00A21A4D">
            <w:pPr>
              <w:pStyle w:val="BodyText"/>
              <w:tabs>
                <w:tab w:val="left" w:pos="360"/>
                <w:tab w:val="left" w:pos="540"/>
                <w:tab w:val="left" w:pos="630"/>
                <w:tab w:val="left" w:pos="1062"/>
              </w:tabs>
              <w:ind w:left="-108" w:right="-108"/>
              <w:jc w:val="center"/>
              <w:rPr>
                <w:b/>
                <w:sz w:val="20"/>
              </w:rPr>
            </w:pPr>
          </w:p>
          <w:p w:rsidR="00FE0F58" w:rsidRPr="00F85375" w:rsidRDefault="00FE0F58" w:rsidP="00A21A4D">
            <w:pPr>
              <w:pStyle w:val="BodyText"/>
              <w:tabs>
                <w:tab w:val="left" w:pos="360"/>
                <w:tab w:val="left" w:pos="540"/>
                <w:tab w:val="left" w:pos="630"/>
                <w:tab w:val="left" w:pos="1062"/>
              </w:tabs>
              <w:ind w:left="-108" w:right="-108"/>
              <w:jc w:val="center"/>
              <w:rPr>
                <w:b/>
                <w:sz w:val="20"/>
              </w:rPr>
            </w:pPr>
          </w:p>
          <w:p w:rsidR="00FE0F58" w:rsidRPr="00F85375" w:rsidRDefault="00FE0F58" w:rsidP="00F94132">
            <w:pPr>
              <w:pStyle w:val="BodyText"/>
              <w:tabs>
                <w:tab w:val="left" w:pos="360"/>
                <w:tab w:val="left" w:pos="540"/>
                <w:tab w:val="left" w:pos="630"/>
                <w:tab w:val="left" w:pos="1062"/>
              </w:tabs>
              <w:ind w:left="-108" w:right="-108"/>
              <w:jc w:val="center"/>
              <w:rPr>
                <w:b/>
                <w:sz w:val="20"/>
              </w:rPr>
            </w:pPr>
            <w:r w:rsidRPr="00F85375">
              <w:rPr>
                <w:b/>
                <w:sz w:val="20"/>
              </w:rPr>
              <w:t>648,927</w:t>
            </w:r>
          </w:p>
        </w:tc>
        <w:tc>
          <w:tcPr>
            <w:tcW w:w="1890" w:type="dxa"/>
            <w:tcBorders>
              <w:top w:val="single" w:sz="8" w:space="0" w:color="auto"/>
              <w:left w:val="single" w:sz="4" w:space="0" w:color="auto"/>
              <w:bottom w:val="single" w:sz="12" w:space="0" w:color="auto"/>
              <w:right w:val="single" w:sz="4" w:space="0" w:color="auto"/>
            </w:tcBorders>
          </w:tcPr>
          <w:p w:rsidR="00FE0F58" w:rsidRPr="00F85375" w:rsidRDefault="00FE0F58" w:rsidP="00307FCA">
            <w:pPr>
              <w:pStyle w:val="BodyText"/>
              <w:tabs>
                <w:tab w:val="left" w:pos="360"/>
                <w:tab w:val="left" w:pos="540"/>
                <w:tab w:val="left" w:pos="630"/>
                <w:tab w:val="left" w:pos="1062"/>
              </w:tabs>
              <w:ind w:left="-108" w:right="-108"/>
              <w:jc w:val="center"/>
              <w:rPr>
                <w:sz w:val="20"/>
              </w:rPr>
            </w:pPr>
          </w:p>
          <w:p w:rsidR="00FE0F58" w:rsidRPr="00F85375" w:rsidRDefault="00FE0F58" w:rsidP="00307FCA">
            <w:pPr>
              <w:pStyle w:val="BodyText"/>
              <w:tabs>
                <w:tab w:val="left" w:pos="360"/>
                <w:tab w:val="left" w:pos="540"/>
                <w:tab w:val="left" w:pos="630"/>
                <w:tab w:val="left" w:pos="1062"/>
              </w:tabs>
              <w:ind w:left="-108" w:right="-108"/>
              <w:jc w:val="center"/>
              <w:rPr>
                <w:sz w:val="20"/>
              </w:rPr>
            </w:pPr>
          </w:p>
          <w:p w:rsidR="00FE0F58" w:rsidRPr="00F85375" w:rsidRDefault="00FE0F58" w:rsidP="00307FCA">
            <w:pPr>
              <w:pStyle w:val="BodyText"/>
              <w:tabs>
                <w:tab w:val="left" w:pos="360"/>
                <w:tab w:val="left" w:pos="540"/>
                <w:tab w:val="left" w:pos="630"/>
                <w:tab w:val="left" w:pos="1062"/>
              </w:tabs>
              <w:ind w:left="-108" w:right="-108"/>
              <w:jc w:val="center"/>
              <w:rPr>
                <w:sz w:val="20"/>
              </w:rPr>
            </w:pPr>
          </w:p>
          <w:p w:rsidR="00FE0F58" w:rsidRPr="00F85375" w:rsidRDefault="00FE0F58" w:rsidP="00307FCA">
            <w:pPr>
              <w:pStyle w:val="BodyText"/>
              <w:tabs>
                <w:tab w:val="left" w:pos="360"/>
                <w:tab w:val="left" w:pos="540"/>
                <w:tab w:val="left" w:pos="630"/>
                <w:tab w:val="left" w:pos="1062"/>
              </w:tabs>
              <w:ind w:left="-108" w:right="-108"/>
              <w:jc w:val="center"/>
              <w:rPr>
                <w:sz w:val="20"/>
              </w:rPr>
            </w:pPr>
          </w:p>
          <w:p w:rsidR="00FE0F58" w:rsidRPr="00F85375" w:rsidRDefault="00FE0F58" w:rsidP="00307FCA">
            <w:pPr>
              <w:pStyle w:val="BodyText"/>
              <w:tabs>
                <w:tab w:val="left" w:pos="360"/>
                <w:tab w:val="left" w:pos="540"/>
                <w:tab w:val="left" w:pos="630"/>
                <w:tab w:val="left" w:pos="1062"/>
              </w:tabs>
              <w:ind w:left="-108" w:right="-108"/>
              <w:jc w:val="center"/>
              <w:rPr>
                <w:sz w:val="20"/>
              </w:rPr>
            </w:pPr>
            <w:r w:rsidRPr="00F85375">
              <w:rPr>
                <w:sz w:val="20"/>
              </w:rPr>
              <w:t>646,885</w:t>
            </w:r>
          </w:p>
        </w:tc>
        <w:tc>
          <w:tcPr>
            <w:tcW w:w="1170" w:type="dxa"/>
            <w:tcBorders>
              <w:top w:val="single" w:sz="8" w:space="0" w:color="auto"/>
              <w:left w:val="single" w:sz="4" w:space="0" w:color="auto"/>
              <w:bottom w:val="single" w:sz="12" w:space="0" w:color="auto"/>
              <w:right w:val="single" w:sz="4" w:space="0" w:color="auto"/>
            </w:tcBorders>
          </w:tcPr>
          <w:p w:rsidR="00FE0F58" w:rsidRPr="00F85375" w:rsidRDefault="00FE0F58" w:rsidP="00F94132">
            <w:pPr>
              <w:pStyle w:val="BodyText"/>
              <w:tabs>
                <w:tab w:val="left" w:pos="360"/>
                <w:tab w:val="left" w:pos="540"/>
                <w:tab w:val="left" w:pos="630"/>
                <w:tab w:val="left" w:pos="1062"/>
              </w:tabs>
              <w:ind w:left="-108" w:right="-108"/>
              <w:jc w:val="center"/>
              <w:rPr>
                <w:b/>
                <w:sz w:val="20"/>
              </w:rPr>
            </w:pPr>
          </w:p>
          <w:p w:rsidR="00FE0F58" w:rsidRPr="00F85375" w:rsidRDefault="00FE0F58" w:rsidP="00F94132">
            <w:pPr>
              <w:pStyle w:val="BodyText"/>
              <w:tabs>
                <w:tab w:val="left" w:pos="360"/>
                <w:tab w:val="left" w:pos="540"/>
                <w:tab w:val="left" w:pos="630"/>
                <w:tab w:val="left" w:pos="1062"/>
              </w:tabs>
              <w:ind w:left="-108" w:right="-108"/>
              <w:jc w:val="center"/>
              <w:rPr>
                <w:b/>
                <w:sz w:val="20"/>
              </w:rPr>
            </w:pPr>
          </w:p>
          <w:p w:rsidR="00FE0F58" w:rsidRPr="00F85375" w:rsidRDefault="00FE0F58" w:rsidP="00F94132">
            <w:pPr>
              <w:pStyle w:val="BodyText"/>
              <w:tabs>
                <w:tab w:val="left" w:pos="360"/>
                <w:tab w:val="left" w:pos="540"/>
                <w:tab w:val="left" w:pos="630"/>
                <w:tab w:val="left" w:pos="1062"/>
              </w:tabs>
              <w:ind w:left="-108" w:right="-108"/>
              <w:jc w:val="center"/>
              <w:rPr>
                <w:b/>
                <w:sz w:val="20"/>
              </w:rPr>
            </w:pPr>
          </w:p>
          <w:p w:rsidR="00FE0F58" w:rsidRPr="00F85375" w:rsidRDefault="00FE0F58" w:rsidP="00F94132">
            <w:pPr>
              <w:pStyle w:val="BodyText"/>
              <w:tabs>
                <w:tab w:val="left" w:pos="360"/>
                <w:tab w:val="left" w:pos="540"/>
                <w:tab w:val="left" w:pos="630"/>
                <w:tab w:val="left" w:pos="1062"/>
              </w:tabs>
              <w:ind w:left="-108" w:right="-108"/>
              <w:jc w:val="center"/>
              <w:rPr>
                <w:b/>
                <w:sz w:val="20"/>
              </w:rPr>
            </w:pPr>
          </w:p>
          <w:p w:rsidR="00FE0F58" w:rsidRPr="00F85375" w:rsidRDefault="00FE0F58" w:rsidP="00F94132">
            <w:pPr>
              <w:pStyle w:val="BodyText"/>
              <w:tabs>
                <w:tab w:val="left" w:pos="360"/>
                <w:tab w:val="left" w:pos="540"/>
                <w:tab w:val="left" w:pos="630"/>
                <w:tab w:val="left" w:pos="1062"/>
              </w:tabs>
              <w:ind w:left="-108" w:right="-108"/>
              <w:jc w:val="center"/>
              <w:rPr>
                <w:b/>
                <w:sz w:val="20"/>
              </w:rPr>
            </w:pPr>
            <w:r w:rsidRPr="00F85375">
              <w:rPr>
                <w:b/>
                <w:sz w:val="20"/>
              </w:rPr>
              <w:t>648,927</w:t>
            </w:r>
          </w:p>
        </w:tc>
        <w:tc>
          <w:tcPr>
            <w:tcW w:w="1800" w:type="dxa"/>
            <w:tcBorders>
              <w:top w:val="single" w:sz="8" w:space="0" w:color="auto"/>
              <w:left w:val="single" w:sz="4" w:space="0" w:color="auto"/>
              <w:bottom w:val="single" w:sz="12" w:space="0" w:color="auto"/>
              <w:right w:val="single" w:sz="4" w:space="0" w:color="auto"/>
            </w:tcBorders>
          </w:tcPr>
          <w:p w:rsidR="00FE0F58" w:rsidRPr="00CA528C" w:rsidRDefault="00FE0F58" w:rsidP="00307FCA">
            <w:pPr>
              <w:pStyle w:val="BodyText"/>
              <w:tabs>
                <w:tab w:val="left" w:pos="360"/>
                <w:tab w:val="left" w:pos="540"/>
                <w:tab w:val="left" w:pos="630"/>
                <w:tab w:val="left" w:pos="1062"/>
              </w:tabs>
              <w:ind w:left="-108" w:right="-108"/>
              <w:jc w:val="center"/>
              <w:rPr>
                <w:sz w:val="20"/>
              </w:rPr>
            </w:pPr>
          </w:p>
          <w:p w:rsidR="00FE0F58" w:rsidRPr="00CA528C" w:rsidRDefault="00FE0F58" w:rsidP="00307FCA">
            <w:pPr>
              <w:pStyle w:val="BodyText"/>
              <w:tabs>
                <w:tab w:val="left" w:pos="360"/>
                <w:tab w:val="left" w:pos="540"/>
                <w:tab w:val="left" w:pos="630"/>
                <w:tab w:val="left" w:pos="1062"/>
              </w:tabs>
              <w:ind w:left="-108" w:right="-108"/>
              <w:jc w:val="center"/>
              <w:rPr>
                <w:sz w:val="20"/>
              </w:rPr>
            </w:pPr>
          </w:p>
          <w:p w:rsidR="00FE0F58" w:rsidRPr="00CA528C" w:rsidRDefault="00FE0F58" w:rsidP="00307FCA">
            <w:pPr>
              <w:pStyle w:val="BodyText"/>
              <w:tabs>
                <w:tab w:val="left" w:pos="360"/>
                <w:tab w:val="left" w:pos="540"/>
                <w:tab w:val="left" w:pos="630"/>
                <w:tab w:val="left" w:pos="1062"/>
              </w:tabs>
              <w:ind w:left="-108" w:right="-108"/>
              <w:jc w:val="center"/>
              <w:rPr>
                <w:sz w:val="20"/>
              </w:rPr>
            </w:pPr>
          </w:p>
          <w:p w:rsidR="00FE0F58" w:rsidRPr="00CA528C" w:rsidRDefault="00FE0F58" w:rsidP="00307FCA">
            <w:pPr>
              <w:pStyle w:val="BodyText"/>
              <w:tabs>
                <w:tab w:val="left" w:pos="360"/>
                <w:tab w:val="left" w:pos="540"/>
                <w:tab w:val="left" w:pos="630"/>
                <w:tab w:val="left" w:pos="1062"/>
              </w:tabs>
              <w:ind w:left="-108" w:right="-108"/>
              <w:jc w:val="center"/>
              <w:rPr>
                <w:sz w:val="20"/>
              </w:rPr>
            </w:pPr>
          </w:p>
          <w:p w:rsidR="00FE0F58" w:rsidRPr="00CA528C" w:rsidRDefault="00FE0F58" w:rsidP="00307FCA">
            <w:pPr>
              <w:pStyle w:val="BodyText"/>
              <w:tabs>
                <w:tab w:val="left" w:pos="360"/>
                <w:tab w:val="left" w:pos="540"/>
                <w:tab w:val="left" w:pos="630"/>
                <w:tab w:val="left" w:pos="1062"/>
              </w:tabs>
              <w:ind w:left="-108" w:right="-108"/>
              <w:jc w:val="center"/>
              <w:rPr>
                <w:sz w:val="20"/>
              </w:rPr>
            </w:pPr>
            <w:r>
              <w:rPr>
                <w:sz w:val="20"/>
              </w:rPr>
              <w:t>646,885</w:t>
            </w:r>
          </w:p>
        </w:tc>
      </w:tr>
      <w:tr w:rsidR="00FE0F58" w:rsidRPr="001B7B87" w:rsidTr="00152CB6">
        <w:tc>
          <w:tcPr>
            <w:tcW w:w="2070" w:type="dxa"/>
            <w:tcBorders>
              <w:right w:val="single" w:sz="4" w:space="0" w:color="auto"/>
            </w:tcBorders>
          </w:tcPr>
          <w:p w:rsidR="00FE0F58" w:rsidRDefault="00FE0F58" w:rsidP="00152CB6">
            <w:pPr>
              <w:pStyle w:val="BodyText"/>
              <w:tabs>
                <w:tab w:val="left" w:pos="360"/>
                <w:tab w:val="left" w:pos="540"/>
                <w:tab w:val="left" w:pos="630"/>
                <w:tab w:val="left" w:pos="1080"/>
              </w:tabs>
              <w:ind w:left="-108" w:right="-108"/>
              <w:jc w:val="left"/>
              <w:rPr>
                <w:sz w:val="20"/>
                <w:u w:val="single"/>
              </w:rPr>
            </w:pPr>
          </w:p>
          <w:p w:rsidR="00FE0F58" w:rsidRPr="00EE4D71" w:rsidRDefault="00FE0F58" w:rsidP="00152CB6">
            <w:pPr>
              <w:pStyle w:val="BodyText"/>
              <w:tabs>
                <w:tab w:val="left" w:pos="360"/>
                <w:tab w:val="left" w:pos="540"/>
                <w:tab w:val="left" w:pos="630"/>
                <w:tab w:val="left" w:pos="1080"/>
              </w:tabs>
              <w:ind w:left="-108" w:right="-108"/>
              <w:jc w:val="left"/>
              <w:rPr>
                <w:sz w:val="20"/>
              </w:rPr>
            </w:pPr>
            <w:r w:rsidRPr="00152CB6">
              <w:rPr>
                <w:sz w:val="20"/>
                <w:u w:val="single"/>
              </w:rPr>
              <w:t>Diluted (LPS)/EPS (</w:t>
            </w:r>
            <w:proofErr w:type="spellStart"/>
            <w:r w:rsidRPr="00152CB6">
              <w:rPr>
                <w:sz w:val="20"/>
                <w:u w:val="single"/>
              </w:rPr>
              <w:t>sen</w:t>
            </w:r>
            <w:proofErr w:type="spellEnd"/>
            <w:r w:rsidRPr="00152CB6">
              <w:rPr>
                <w:sz w:val="20"/>
                <w:u w:val="single"/>
              </w:rPr>
              <w:t>)</w:t>
            </w:r>
            <w:r>
              <w:rPr>
                <w:sz w:val="20"/>
                <w:u w:val="single"/>
              </w:rPr>
              <w:t>*</w:t>
            </w:r>
          </w:p>
        </w:tc>
        <w:tc>
          <w:tcPr>
            <w:tcW w:w="1170" w:type="dxa"/>
            <w:tcBorders>
              <w:top w:val="single" w:sz="12" w:space="0" w:color="auto"/>
              <w:left w:val="single" w:sz="4" w:space="0" w:color="auto"/>
              <w:right w:val="single" w:sz="4" w:space="0" w:color="auto"/>
            </w:tcBorders>
            <w:shd w:val="clear" w:color="auto" w:fill="auto"/>
          </w:tcPr>
          <w:p w:rsidR="00FE0F58" w:rsidRPr="00F85375" w:rsidRDefault="00FE0F58" w:rsidP="00A21A4D">
            <w:pPr>
              <w:pStyle w:val="BodyText"/>
              <w:tabs>
                <w:tab w:val="left" w:pos="360"/>
                <w:tab w:val="left" w:pos="540"/>
                <w:tab w:val="left" w:pos="630"/>
                <w:tab w:val="left" w:pos="1062"/>
              </w:tabs>
              <w:ind w:left="-108" w:right="-108"/>
              <w:jc w:val="center"/>
              <w:rPr>
                <w:b/>
                <w:sz w:val="20"/>
              </w:rPr>
            </w:pPr>
          </w:p>
        </w:tc>
        <w:tc>
          <w:tcPr>
            <w:tcW w:w="1890" w:type="dxa"/>
            <w:tcBorders>
              <w:top w:val="single" w:sz="12" w:space="0" w:color="auto"/>
              <w:left w:val="single" w:sz="4" w:space="0" w:color="auto"/>
              <w:right w:val="single" w:sz="4" w:space="0" w:color="auto"/>
            </w:tcBorders>
            <w:shd w:val="clear" w:color="auto" w:fill="auto"/>
          </w:tcPr>
          <w:p w:rsidR="00FE0F58" w:rsidRPr="00F85375" w:rsidRDefault="00FE0F58" w:rsidP="00307FCA">
            <w:pPr>
              <w:pStyle w:val="BodyText"/>
              <w:tabs>
                <w:tab w:val="left" w:pos="360"/>
                <w:tab w:val="left" w:pos="540"/>
                <w:tab w:val="left" w:pos="630"/>
                <w:tab w:val="left" w:pos="1062"/>
              </w:tabs>
              <w:ind w:left="-108" w:right="-108"/>
              <w:jc w:val="center"/>
              <w:rPr>
                <w:sz w:val="20"/>
              </w:rPr>
            </w:pPr>
          </w:p>
        </w:tc>
        <w:tc>
          <w:tcPr>
            <w:tcW w:w="1170" w:type="dxa"/>
            <w:tcBorders>
              <w:top w:val="single" w:sz="12" w:space="0" w:color="auto"/>
              <w:left w:val="single" w:sz="4" w:space="0" w:color="auto"/>
              <w:right w:val="single" w:sz="4" w:space="0" w:color="auto"/>
            </w:tcBorders>
            <w:shd w:val="clear" w:color="auto" w:fill="auto"/>
          </w:tcPr>
          <w:p w:rsidR="00FE0F58" w:rsidRPr="00F85375" w:rsidRDefault="00FE0F58" w:rsidP="00F94132">
            <w:pPr>
              <w:pStyle w:val="BodyText"/>
              <w:tabs>
                <w:tab w:val="left" w:pos="360"/>
                <w:tab w:val="left" w:pos="540"/>
                <w:tab w:val="left" w:pos="630"/>
                <w:tab w:val="left" w:pos="1062"/>
              </w:tabs>
              <w:ind w:left="-108" w:right="-108"/>
              <w:jc w:val="center"/>
              <w:rPr>
                <w:b/>
                <w:sz w:val="20"/>
              </w:rPr>
            </w:pPr>
          </w:p>
        </w:tc>
        <w:tc>
          <w:tcPr>
            <w:tcW w:w="1800" w:type="dxa"/>
            <w:tcBorders>
              <w:top w:val="single" w:sz="12" w:space="0" w:color="auto"/>
              <w:left w:val="single" w:sz="4" w:space="0" w:color="auto"/>
              <w:right w:val="single" w:sz="4" w:space="0" w:color="auto"/>
            </w:tcBorders>
          </w:tcPr>
          <w:p w:rsidR="00FE0F58" w:rsidRPr="00CA528C" w:rsidRDefault="00FE0F58" w:rsidP="00307FCA">
            <w:pPr>
              <w:pStyle w:val="BodyText"/>
              <w:tabs>
                <w:tab w:val="left" w:pos="360"/>
                <w:tab w:val="left" w:pos="540"/>
                <w:tab w:val="left" w:pos="630"/>
                <w:tab w:val="left" w:pos="1062"/>
              </w:tabs>
              <w:ind w:left="-108" w:right="-108"/>
              <w:jc w:val="center"/>
              <w:rPr>
                <w:sz w:val="20"/>
              </w:rPr>
            </w:pPr>
          </w:p>
        </w:tc>
      </w:tr>
      <w:tr w:rsidR="00FE0F58" w:rsidRPr="001B7B87" w:rsidTr="00152CB6">
        <w:tc>
          <w:tcPr>
            <w:tcW w:w="2070" w:type="dxa"/>
            <w:tcBorders>
              <w:right w:val="single" w:sz="4" w:space="0" w:color="auto"/>
            </w:tcBorders>
          </w:tcPr>
          <w:p w:rsidR="00FE0F58" w:rsidRPr="00EE4D71" w:rsidRDefault="00FE0F58" w:rsidP="00152CB6">
            <w:pPr>
              <w:pStyle w:val="BodyText"/>
              <w:numPr>
                <w:ilvl w:val="0"/>
                <w:numId w:val="3"/>
              </w:numPr>
              <w:tabs>
                <w:tab w:val="left" w:pos="360"/>
                <w:tab w:val="left" w:pos="540"/>
                <w:tab w:val="left" w:pos="630"/>
                <w:tab w:val="left" w:pos="1080"/>
              </w:tabs>
              <w:ind w:right="-108"/>
              <w:jc w:val="left"/>
              <w:rPr>
                <w:sz w:val="20"/>
              </w:rPr>
            </w:pPr>
            <w:r>
              <w:rPr>
                <w:sz w:val="20"/>
              </w:rPr>
              <w:t>attributable to owners of the parent</w:t>
            </w:r>
          </w:p>
        </w:tc>
        <w:tc>
          <w:tcPr>
            <w:tcW w:w="1170" w:type="dxa"/>
            <w:tcBorders>
              <w:left w:val="single" w:sz="4" w:space="0" w:color="auto"/>
              <w:right w:val="single" w:sz="4" w:space="0" w:color="auto"/>
            </w:tcBorders>
            <w:shd w:val="clear" w:color="auto" w:fill="auto"/>
          </w:tcPr>
          <w:p w:rsidR="00FE0F58" w:rsidRDefault="00FE0F58" w:rsidP="004665D1">
            <w:pPr>
              <w:pStyle w:val="BodyText"/>
              <w:tabs>
                <w:tab w:val="left" w:pos="360"/>
                <w:tab w:val="left" w:pos="540"/>
                <w:tab w:val="left" w:pos="630"/>
                <w:tab w:val="left" w:pos="1062"/>
              </w:tabs>
              <w:ind w:left="-108" w:right="-108"/>
              <w:jc w:val="center"/>
              <w:rPr>
                <w:b/>
                <w:sz w:val="20"/>
              </w:rPr>
            </w:pPr>
          </w:p>
          <w:p w:rsidR="00FE0F58" w:rsidRDefault="00FE0F58" w:rsidP="004665D1">
            <w:pPr>
              <w:pStyle w:val="BodyText"/>
              <w:tabs>
                <w:tab w:val="left" w:pos="360"/>
                <w:tab w:val="left" w:pos="540"/>
                <w:tab w:val="left" w:pos="630"/>
                <w:tab w:val="left" w:pos="1062"/>
              </w:tabs>
              <w:ind w:left="-108" w:right="-108"/>
              <w:jc w:val="center"/>
              <w:rPr>
                <w:b/>
                <w:sz w:val="20"/>
              </w:rPr>
            </w:pPr>
          </w:p>
          <w:p w:rsidR="00FE0F58" w:rsidRPr="00F85375" w:rsidRDefault="00FE0F58" w:rsidP="004665D1">
            <w:pPr>
              <w:pStyle w:val="BodyText"/>
              <w:tabs>
                <w:tab w:val="left" w:pos="360"/>
                <w:tab w:val="left" w:pos="540"/>
                <w:tab w:val="left" w:pos="630"/>
                <w:tab w:val="left" w:pos="1062"/>
              </w:tabs>
              <w:ind w:left="-108" w:right="-108"/>
              <w:jc w:val="center"/>
              <w:rPr>
                <w:b/>
                <w:sz w:val="20"/>
              </w:rPr>
            </w:pPr>
            <w:r w:rsidRPr="00F85375">
              <w:rPr>
                <w:b/>
                <w:sz w:val="20"/>
              </w:rPr>
              <w:t>0.99</w:t>
            </w:r>
          </w:p>
        </w:tc>
        <w:tc>
          <w:tcPr>
            <w:tcW w:w="1890" w:type="dxa"/>
            <w:tcBorders>
              <w:left w:val="single" w:sz="4" w:space="0" w:color="auto"/>
              <w:right w:val="single" w:sz="4" w:space="0" w:color="auto"/>
            </w:tcBorders>
            <w:shd w:val="clear" w:color="auto" w:fill="auto"/>
          </w:tcPr>
          <w:p w:rsidR="00FE0F58" w:rsidRDefault="00FE0F58" w:rsidP="00DB379F">
            <w:pPr>
              <w:pStyle w:val="BodyText"/>
              <w:tabs>
                <w:tab w:val="left" w:pos="360"/>
                <w:tab w:val="left" w:pos="540"/>
                <w:tab w:val="left" w:pos="630"/>
                <w:tab w:val="left" w:pos="1062"/>
              </w:tabs>
              <w:ind w:left="-108" w:right="-108"/>
              <w:jc w:val="center"/>
              <w:rPr>
                <w:sz w:val="20"/>
              </w:rPr>
            </w:pPr>
          </w:p>
          <w:p w:rsidR="00FE0F58" w:rsidRDefault="00FE0F58" w:rsidP="00DB379F">
            <w:pPr>
              <w:pStyle w:val="BodyText"/>
              <w:tabs>
                <w:tab w:val="left" w:pos="360"/>
                <w:tab w:val="left" w:pos="540"/>
                <w:tab w:val="left" w:pos="630"/>
                <w:tab w:val="left" w:pos="1062"/>
              </w:tabs>
              <w:ind w:left="-108" w:right="-108"/>
              <w:jc w:val="center"/>
              <w:rPr>
                <w:sz w:val="20"/>
              </w:rPr>
            </w:pPr>
          </w:p>
          <w:p w:rsidR="00FE0F58" w:rsidRPr="00F85375" w:rsidRDefault="00FE0F58" w:rsidP="00DB379F">
            <w:pPr>
              <w:pStyle w:val="BodyText"/>
              <w:tabs>
                <w:tab w:val="left" w:pos="360"/>
                <w:tab w:val="left" w:pos="540"/>
                <w:tab w:val="left" w:pos="630"/>
                <w:tab w:val="left" w:pos="1062"/>
              </w:tabs>
              <w:ind w:left="-108" w:right="-108"/>
              <w:jc w:val="center"/>
              <w:rPr>
                <w:sz w:val="20"/>
              </w:rPr>
            </w:pPr>
            <w:r w:rsidRPr="00F85375">
              <w:rPr>
                <w:sz w:val="20"/>
              </w:rPr>
              <w:t>1</w:t>
            </w:r>
            <w:r>
              <w:rPr>
                <w:sz w:val="20"/>
              </w:rPr>
              <w:t>4</w:t>
            </w:r>
            <w:r w:rsidRPr="00F85375">
              <w:rPr>
                <w:sz w:val="20"/>
              </w:rPr>
              <w:t>.</w:t>
            </w:r>
            <w:r>
              <w:rPr>
                <w:sz w:val="20"/>
              </w:rPr>
              <w:t>89</w:t>
            </w:r>
          </w:p>
        </w:tc>
        <w:tc>
          <w:tcPr>
            <w:tcW w:w="1170" w:type="dxa"/>
            <w:tcBorders>
              <w:left w:val="single" w:sz="4" w:space="0" w:color="auto"/>
              <w:right w:val="single" w:sz="4" w:space="0" w:color="auto"/>
            </w:tcBorders>
            <w:shd w:val="clear" w:color="auto" w:fill="auto"/>
          </w:tcPr>
          <w:p w:rsidR="00FE0F58" w:rsidRDefault="00FE0F58" w:rsidP="00F85375">
            <w:pPr>
              <w:pStyle w:val="BodyText"/>
              <w:tabs>
                <w:tab w:val="left" w:pos="360"/>
                <w:tab w:val="left" w:pos="540"/>
                <w:tab w:val="left" w:pos="630"/>
                <w:tab w:val="left" w:pos="1062"/>
              </w:tabs>
              <w:ind w:left="-108" w:right="-108"/>
              <w:jc w:val="center"/>
              <w:rPr>
                <w:b/>
                <w:sz w:val="20"/>
              </w:rPr>
            </w:pPr>
          </w:p>
          <w:p w:rsidR="00FE0F58" w:rsidRDefault="00FE0F58" w:rsidP="00F85375">
            <w:pPr>
              <w:pStyle w:val="BodyText"/>
              <w:tabs>
                <w:tab w:val="left" w:pos="360"/>
                <w:tab w:val="left" w:pos="540"/>
                <w:tab w:val="left" w:pos="630"/>
                <w:tab w:val="left" w:pos="1062"/>
              </w:tabs>
              <w:ind w:left="-108" w:right="-108"/>
              <w:jc w:val="center"/>
              <w:rPr>
                <w:b/>
                <w:sz w:val="20"/>
              </w:rPr>
            </w:pPr>
          </w:p>
          <w:p w:rsidR="00FE0F58" w:rsidRPr="00F85375" w:rsidRDefault="00FE0F58" w:rsidP="00F85375">
            <w:pPr>
              <w:pStyle w:val="BodyText"/>
              <w:tabs>
                <w:tab w:val="left" w:pos="360"/>
                <w:tab w:val="left" w:pos="540"/>
                <w:tab w:val="left" w:pos="630"/>
                <w:tab w:val="left" w:pos="1062"/>
              </w:tabs>
              <w:ind w:left="-108" w:right="-108"/>
              <w:jc w:val="center"/>
              <w:rPr>
                <w:b/>
                <w:sz w:val="20"/>
              </w:rPr>
            </w:pPr>
            <w:r w:rsidRPr="00F85375">
              <w:rPr>
                <w:b/>
                <w:sz w:val="20"/>
              </w:rPr>
              <w:t>(0.71)</w:t>
            </w:r>
          </w:p>
        </w:tc>
        <w:tc>
          <w:tcPr>
            <w:tcW w:w="1800" w:type="dxa"/>
            <w:tcBorders>
              <w:left w:val="single" w:sz="4" w:space="0" w:color="auto"/>
              <w:right w:val="single" w:sz="4" w:space="0" w:color="auto"/>
            </w:tcBorders>
          </w:tcPr>
          <w:p w:rsidR="00FE0F58" w:rsidRDefault="00FE0F58" w:rsidP="00DB379F">
            <w:pPr>
              <w:pStyle w:val="BodyText"/>
              <w:tabs>
                <w:tab w:val="left" w:pos="360"/>
                <w:tab w:val="left" w:pos="540"/>
                <w:tab w:val="left" w:pos="630"/>
                <w:tab w:val="left" w:pos="1062"/>
              </w:tabs>
              <w:ind w:left="-108" w:right="-108"/>
              <w:jc w:val="center"/>
              <w:rPr>
                <w:sz w:val="20"/>
              </w:rPr>
            </w:pPr>
          </w:p>
          <w:p w:rsidR="00FE0F58" w:rsidRDefault="00FE0F58" w:rsidP="00DB379F">
            <w:pPr>
              <w:pStyle w:val="BodyText"/>
              <w:tabs>
                <w:tab w:val="left" w:pos="360"/>
                <w:tab w:val="left" w:pos="540"/>
                <w:tab w:val="left" w:pos="630"/>
                <w:tab w:val="left" w:pos="1062"/>
              </w:tabs>
              <w:ind w:left="-108" w:right="-108"/>
              <w:jc w:val="center"/>
              <w:rPr>
                <w:sz w:val="20"/>
              </w:rPr>
            </w:pPr>
          </w:p>
          <w:p w:rsidR="00FE0F58" w:rsidRPr="00CA528C" w:rsidRDefault="00FE0F58" w:rsidP="00DB379F">
            <w:pPr>
              <w:pStyle w:val="BodyText"/>
              <w:tabs>
                <w:tab w:val="left" w:pos="360"/>
                <w:tab w:val="left" w:pos="540"/>
                <w:tab w:val="left" w:pos="630"/>
                <w:tab w:val="left" w:pos="1062"/>
              </w:tabs>
              <w:ind w:left="-108" w:right="-108"/>
              <w:jc w:val="center"/>
              <w:rPr>
                <w:sz w:val="20"/>
              </w:rPr>
            </w:pPr>
            <w:r>
              <w:rPr>
                <w:sz w:val="20"/>
              </w:rPr>
              <w:t>16.03</w:t>
            </w:r>
          </w:p>
        </w:tc>
      </w:tr>
      <w:tr w:rsidR="00FE0F58" w:rsidRPr="001B7B87" w:rsidTr="009A4995">
        <w:tc>
          <w:tcPr>
            <w:tcW w:w="2070" w:type="dxa"/>
            <w:tcBorders>
              <w:right w:val="single" w:sz="4" w:space="0" w:color="auto"/>
            </w:tcBorders>
          </w:tcPr>
          <w:p w:rsidR="00FE0F58" w:rsidRPr="00EE4D71" w:rsidRDefault="00FE0F58" w:rsidP="009A4995">
            <w:pPr>
              <w:pStyle w:val="BodyText"/>
              <w:numPr>
                <w:ilvl w:val="0"/>
                <w:numId w:val="3"/>
              </w:numPr>
              <w:tabs>
                <w:tab w:val="clear" w:pos="405"/>
                <w:tab w:val="left" w:pos="360"/>
                <w:tab w:val="left" w:pos="540"/>
                <w:tab w:val="left" w:pos="630"/>
                <w:tab w:val="left" w:pos="1080"/>
              </w:tabs>
              <w:ind w:left="432" w:right="-108"/>
              <w:jc w:val="left"/>
              <w:rPr>
                <w:sz w:val="20"/>
              </w:rPr>
            </w:pPr>
            <w:r>
              <w:rPr>
                <w:sz w:val="20"/>
              </w:rPr>
              <w:t>from continuing operations</w:t>
            </w:r>
          </w:p>
        </w:tc>
        <w:tc>
          <w:tcPr>
            <w:tcW w:w="1170" w:type="dxa"/>
            <w:tcBorders>
              <w:left w:val="single" w:sz="4" w:space="0" w:color="auto"/>
              <w:right w:val="single" w:sz="4" w:space="0" w:color="auto"/>
            </w:tcBorders>
            <w:shd w:val="clear" w:color="auto" w:fill="auto"/>
          </w:tcPr>
          <w:p w:rsidR="00FE0F58" w:rsidRDefault="00FE0F58" w:rsidP="00066125">
            <w:pPr>
              <w:pStyle w:val="BodyText"/>
              <w:tabs>
                <w:tab w:val="left" w:pos="360"/>
                <w:tab w:val="left" w:pos="540"/>
                <w:tab w:val="left" w:pos="630"/>
                <w:tab w:val="left" w:pos="1062"/>
              </w:tabs>
              <w:ind w:left="-108" w:right="-108"/>
              <w:jc w:val="center"/>
              <w:rPr>
                <w:b/>
                <w:sz w:val="20"/>
              </w:rPr>
            </w:pPr>
          </w:p>
          <w:p w:rsidR="00FE0F58" w:rsidRPr="00F85375" w:rsidRDefault="00FE0F58" w:rsidP="00066125">
            <w:pPr>
              <w:pStyle w:val="BodyText"/>
              <w:tabs>
                <w:tab w:val="left" w:pos="360"/>
                <w:tab w:val="left" w:pos="540"/>
                <w:tab w:val="left" w:pos="630"/>
                <w:tab w:val="left" w:pos="1062"/>
              </w:tabs>
              <w:ind w:left="-108" w:right="-108"/>
              <w:jc w:val="center"/>
              <w:rPr>
                <w:b/>
                <w:sz w:val="20"/>
              </w:rPr>
            </w:pPr>
            <w:r>
              <w:rPr>
                <w:b/>
                <w:sz w:val="20"/>
              </w:rPr>
              <w:t>(0.89)</w:t>
            </w:r>
          </w:p>
        </w:tc>
        <w:tc>
          <w:tcPr>
            <w:tcW w:w="1890" w:type="dxa"/>
            <w:tcBorders>
              <w:left w:val="single" w:sz="4" w:space="0" w:color="auto"/>
              <w:right w:val="single" w:sz="4" w:space="0" w:color="auto"/>
            </w:tcBorders>
            <w:shd w:val="clear" w:color="auto" w:fill="auto"/>
          </w:tcPr>
          <w:p w:rsidR="00FE0F58" w:rsidRDefault="00FE0F58" w:rsidP="00066125">
            <w:pPr>
              <w:pStyle w:val="BodyText"/>
              <w:tabs>
                <w:tab w:val="left" w:pos="360"/>
                <w:tab w:val="left" w:pos="540"/>
                <w:tab w:val="left" w:pos="630"/>
                <w:tab w:val="left" w:pos="1062"/>
              </w:tabs>
              <w:ind w:left="-108" w:right="-108"/>
              <w:jc w:val="center"/>
              <w:rPr>
                <w:sz w:val="20"/>
              </w:rPr>
            </w:pPr>
          </w:p>
          <w:p w:rsidR="00FE0F58" w:rsidRPr="00F85375" w:rsidRDefault="00FE0F58" w:rsidP="00FD7DD4">
            <w:pPr>
              <w:pStyle w:val="BodyText"/>
              <w:tabs>
                <w:tab w:val="left" w:pos="360"/>
                <w:tab w:val="left" w:pos="540"/>
                <w:tab w:val="left" w:pos="630"/>
                <w:tab w:val="left" w:pos="1062"/>
              </w:tabs>
              <w:ind w:left="-108" w:right="-108"/>
              <w:jc w:val="center"/>
              <w:rPr>
                <w:sz w:val="20"/>
              </w:rPr>
            </w:pPr>
            <w:r>
              <w:rPr>
                <w:sz w:val="20"/>
              </w:rPr>
              <w:t>13.5</w:t>
            </w:r>
            <w:r w:rsidR="00FD7DD4">
              <w:rPr>
                <w:sz w:val="20"/>
              </w:rPr>
              <w:t>1</w:t>
            </w:r>
          </w:p>
        </w:tc>
        <w:tc>
          <w:tcPr>
            <w:tcW w:w="1170" w:type="dxa"/>
            <w:tcBorders>
              <w:left w:val="single" w:sz="4" w:space="0" w:color="auto"/>
              <w:right w:val="single" w:sz="4" w:space="0" w:color="auto"/>
            </w:tcBorders>
            <w:shd w:val="clear" w:color="auto" w:fill="auto"/>
          </w:tcPr>
          <w:p w:rsidR="00FE0F58" w:rsidRDefault="00FE0F58" w:rsidP="00066125">
            <w:pPr>
              <w:pStyle w:val="BodyText"/>
              <w:tabs>
                <w:tab w:val="left" w:pos="360"/>
                <w:tab w:val="left" w:pos="540"/>
                <w:tab w:val="left" w:pos="630"/>
                <w:tab w:val="left" w:pos="1062"/>
              </w:tabs>
              <w:ind w:left="-108" w:right="-108"/>
              <w:jc w:val="center"/>
              <w:rPr>
                <w:b/>
                <w:sz w:val="20"/>
              </w:rPr>
            </w:pPr>
          </w:p>
          <w:p w:rsidR="00FE0F58" w:rsidRPr="00F85375" w:rsidRDefault="00FE0F58" w:rsidP="00066125">
            <w:pPr>
              <w:pStyle w:val="BodyText"/>
              <w:tabs>
                <w:tab w:val="left" w:pos="360"/>
                <w:tab w:val="left" w:pos="540"/>
                <w:tab w:val="left" w:pos="630"/>
                <w:tab w:val="left" w:pos="1062"/>
              </w:tabs>
              <w:ind w:left="-108" w:right="-108"/>
              <w:jc w:val="center"/>
              <w:rPr>
                <w:b/>
                <w:sz w:val="20"/>
              </w:rPr>
            </w:pPr>
            <w:r>
              <w:rPr>
                <w:b/>
                <w:sz w:val="20"/>
              </w:rPr>
              <w:t>(4.36)</w:t>
            </w:r>
          </w:p>
        </w:tc>
        <w:tc>
          <w:tcPr>
            <w:tcW w:w="1800" w:type="dxa"/>
            <w:tcBorders>
              <w:left w:val="single" w:sz="4" w:space="0" w:color="auto"/>
              <w:right w:val="single" w:sz="4" w:space="0" w:color="auto"/>
            </w:tcBorders>
          </w:tcPr>
          <w:p w:rsidR="00FE0F58" w:rsidRDefault="00FE0F58" w:rsidP="00066125">
            <w:pPr>
              <w:pStyle w:val="BodyText"/>
              <w:tabs>
                <w:tab w:val="left" w:pos="360"/>
                <w:tab w:val="left" w:pos="540"/>
                <w:tab w:val="left" w:pos="630"/>
                <w:tab w:val="left" w:pos="1062"/>
              </w:tabs>
              <w:ind w:left="-108" w:right="-108"/>
              <w:jc w:val="center"/>
              <w:rPr>
                <w:sz w:val="20"/>
              </w:rPr>
            </w:pPr>
          </w:p>
          <w:p w:rsidR="00FE0F58" w:rsidRPr="00CA528C" w:rsidRDefault="00FE0F58" w:rsidP="00FD7DD4">
            <w:pPr>
              <w:pStyle w:val="BodyText"/>
              <w:tabs>
                <w:tab w:val="left" w:pos="360"/>
                <w:tab w:val="left" w:pos="540"/>
                <w:tab w:val="left" w:pos="630"/>
                <w:tab w:val="left" w:pos="1062"/>
              </w:tabs>
              <w:ind w:left="-108" w:right="-108"/>
              <w:jc w:val="center"/>
              <w:rPr>
                <w:sz w:val="20"/>
              </w:rPr>
            </w:pPr>
            <w:r>
              <w:rPr>
                <w:sz w:val="20"/>
              </w:rPr>
              <w:t>13.0</w:t>
            </w:r>
            <w:r w:rsidR="00FD7DD4">
              <w:rPr>
                <w:sz w:val="20"/>
              </w:rPr>
              <w:t>7</w:t>
            </w:r>
          </w:p>
        </w:tc>
      </w:tr>
      <w:tr w:rsidR="00FE0F58" w:rsidRPr="001B7B87" w:rsidTr="009A4995">
        <w:tc>
          <w:tcPr>
            <w:tcW w:w="2070" w:type="dxa"/>
            <w:tcBorders>
              <w:right w:val="single" w:sz="4" w:space="0" w:color="auto"/>
            </w:tcBorders>
          </w:tcPr>
          <w:p w:rsidR="00FE0F58" w:rsidRPr="00EE4D71" w:rsidRDefault="00FE0F58" w:rsidP="00BB1583">
            <w:pPr>
              <w:pStyle w:val="BodyText"/>
              <w:numPr>
                <w:ilvl w:val="0"/>
                <w:numId w:val="3"/>
              </w:numPr>
              <w:tabs>
                <w:tab w:val="left" w:pos="360"/>
                <w:tab w:val="left" w:pos="540"/>
                <w:tab w:val="left" w:pos="630"/>
                <w:tab w:val="left" w:pos="1080"/>
              </w:tabs>
              <w:ind w:right="-108"/>
              <w:jc w:val="left"/>
              <w:rPr>
                <w:sz w:val="20"/>
              </w:rPr>
            </w:pPr>
            <w:r>
              <w:rPr>
                <w:sz w:val="20"/>
              </w:rPr>
              <w:t xml:space="preserve"> from discontinued operation</w:t>
            </w:r>
          </w:p>
        </w:tc>
        <w:tc>
          <w:tcPr>
            <w:tcW w:w="1170" w:type="dxa"/>
            <w:tcBorders>
              <w:left w:val="single" w:sz="4" w:space="0" w:color="auto"/>
              <w:bottom w:val="single" w:sz="12" w:space="0" w:color="auto"/>
              <w:right w:val="single" w:sz="4" w:space="0" w:color="auto"/>
            </w:tcBorders>
            <w:shd w:val="clear" w:color="auto" w:fill="auto"/>
          </w:tcPr>
          <w:p w:rsidR="00FE0F58" w:rsidRDefault="00FE0F58" w:rsidP="00A21A4D">
            <w:pPr>
              <w:pStyle w:val="BodyText"/>
              <w:tabs>
                <w:tab w:val="left" w:pos="360"/>
                <w:tab w:val="left" w:pos="540"/>
                <w:tab w:val="left" w:pos="630"/>
                <w:tab w:val="left" w:pos="1062"/>
              </w:tabs>
              <w:ind w:left="-108" w:right="-108"/>
              <w:jc w:val="center"/>
              <w:rPr>
                <w:b/>
                <w:sz w:val="20"/>
              </w:rPr>
            </w:pPr>
          </w:p>
          <w:p w:rsidR="00FE0F58" w:rsidRPr="00F85375" w:rsidRDefault="00FE0F58" w:rsidP="00A21A4D">
            <w:pPr>
              <w:pStyle w:val="BodyText"/>
              <w:tabs>
                <w:tab w:val="left" w:pos="360"/>
                <w:tab w:val="left" w:pos="540"/>
                <w:tab w:val="left" w:pos="630"/>
                <w:tab w:val="left" w:pos="1062"/>
              </w:tabs>
              <w:ind w:left="-108" w:right="-108"/>
              <w:jc w:val="center"/>
              <w:rPr>
                <w:b/>
                <w:sz w:val="20"/>
              </w:rPr>
            </w:pPr>
            <w:r>
              <w:rPr>
                <w:b/>
                <w:sz w:val="20"/>
              </w:rPr>
              <w:t>1.88</w:t>
            </w:r>
          </w:p>
        </w:tc>
        <w:tc>
          <w:tcPr>
            <w:tcW w:w="1890" w:type="dxa"/>
            <w:tcBorders>
              <w:left w:val="single" w:sz="4" w:space="0" w:color="auto"/>
              <w:bottom w:val="single" w:sz="12" w:space="0" w:color="auto"/>
              <w:right w:val="single" w:sz="4" w:space="0" w:color="auto"/>
            </w:tcBorders>
            <w:shd w:val="clear" w:color="auto" w:fill="auto"/>
          </w:tcPr>
          <w:p w:rsidR="00FE0F58" w:rsidRDefault="00FE0F58" w:rsidP="00307FCA">
            <w:pPr>
              <w:pStyle w:val="BodyText"/>
              <w:tabs>
                <w:tab w:val="left" w:pos="360"/>
                <w:tab w:val="left" w:pos="540"/>
                <w:tab w:val="left" w:pos="630"/>
                <w:tab w:val="left" w:pos="1062"/>
              </w:tabs>
              <w:ind w:left="-108" w:right="-108"/>
              <w:jc w:val="center"/>
              <w:rPr>
                <w:sz w:val="20"/>
              </w:rPr>
            </w:pPr>
          </w:p>
          <w:p w:rsidR="00FE0F58" w:rsidRPr="00F85375" w:rsidRDefault="00FE0F58" w:rsidP="00307FCA">
            <w:pPr>
              <w:pStyle w:val="BodyText"/>
              <w:tabs>
                <w:tab w:val="left" w:pos="360"/>
                <w:tab w:val="left" w:pos="540"/>
                <w:tab w:val="left" w:pos="630"/>
                <w:tab w:val="left" w:pos="1062"/>
              </w:tabs>
              <w:ind w:left="-108" w:right="-108"/>
              <w:jc w:val="center"/>
              <w:rPr>
                <w:sz w:val="20"/>
              </w:rPr>
            </w:pPr>
            <w:r>
              <w:rPr>
                <w:sz w:val="20"/>
              </w:rPr>
              <w:t xml:space="preserve">  1.38</w:t>
            </w:r>
          </w:p>
        </w:tc>
        <w:tc>
          <w:tcPr>
            <w:tcW w:w="1170" w:type="dxa"/>
            <w:tcBorders>
              <w:left w:val="single" w:sz="4" w:space="0" w:color="auto"/>
              <w:bottom w:val="single" w:sz="12" w:space="0" w:color="auto"/>
              <w:right w:val="single" w:sz="4" w:space="0" w:color="auto"/>
            </w:tcBorders>
            <w:shd w:val="clear" w:color="auto" w:fill="auto"/>
          </w:tcPr>
          <w:p w:rsidR="00FE0F58" w:rsidRDefault="00FE0F58" w:rsidP="00F94132">
            <w:pPr>
              <w:pStyle w:val="BodyText"/>
              <w:tabs>
                <w:tab w:val="left" w:pos="360"/>
                <w:tab w:val="left" w:pos="540"/>
                <w:tab w:val="left" w:pos="630"/>
                <w:tab w:val="left" w:pos="1062"/>
              </w:tabs>
              <w:ind w:left="-108" w:right="-108"/>
              <w:jc w:val="center"/>
              <w:rPr>
                <w:b/>
                <w:sz w:val="20"/>
              </w:rPr>
            </w:pPr>
          </w:p>
          <w:p w:rsidR="00FE0F58" w:rsidRPr="00F85375" w:rsidRDefault="00FE0F58" w:rsidP="00F94132">
            <w:pPr>
              <w:pStyle w:val="BodyText"/>
              <w:tabs>
                <w:tab w:val="left" w:pos="360"/>
                <w:tab w:val="left" w:pos="540"/>
                <w:tab w:val="left" w:pos="630"/>
                <w:tab w:val="left" w:pos="1062"/>
              </w:tabs>
              <w:ind w:left="-108" w:right="-108"/>
              <w:jc w:val="center"/>
              <w:rPr>
                <w:b/>
                <w:sz w:val="20"/>
              </w:rPr>
            </w:pPr>
            <w:r>
              <w:rPr>
                <w:b/>
                <w:sz w:val="20"/>
              </w:rPr>
              <w:t>3.65</w:t>
            </w:r>
          </w:p>
        </w:tc>
        <w:tc>
          <w:tcPr>
            <w:tcW w:w="1800" w:type="dxa"/>
            <w:tcBorders>
              <w:left w:val="single" w:sz="4" w:space="0" w:color="auto"/>
              <w:bottom w:val="single" w:sz="12" w:space="0" w:color="auto"/>
              <w:right w:val="single" w:sz="4" w:space="0" w:color="auto"/>
            </w:tcBorders>
          </w:tcPr>
          <w:p w:rsidR="00FE0F58" w:rsidRDefault="00FE0F58" w:rsidP="00307FCA">
            <w:pPr>
              <w:pStyle w:val="BodyText"/>
              <w:tabs>
                <w:tab w:val="left" w:pos="360"/>
                <w:tab w:val="left" w:pos="540"/>
                <w:tab w:val="left" w:pos="630"/>
                <w:tab w:val="left" w:pos="1062"/>
              </w:tabs>
              <w:ind w:left="-108" w:right="-108"/>
              <w:jc w:val="center"/>
              <w:rPr>
                <w:sz w:val="20"/>
              </w:rPr>
            </w:pPr>
          </w:p>
          <w:p w:rsidR="00FE0F58" w:rsidRPr="00CA528C" w:rsidRDefault="00FE0F58" w:rsidP="00307FCA">
            <w:pPr>
              <w:pStyle w:val="BodyText"/>
              <w:tabs>
                <w:tab w:val="left" w:pos="360"/>
                <w:tab w:val="left" w:pos="540"/>
                <w:tab w:val="left" w:pos="630"/>
                <w:tab w:val="left" w:pos="1062"/>
              </w:tabs>
              <w:ind w:left="-108" w:right="-108"/>
              <w:jc w:val="center"/>
              <w:rPr>
                <w:sz w:val="20"/>
              </w:rPr>
            </w:pPr>
            <w:r>
              <w:rPr>
                <w:sz w:val="20"/>
              </w:rPr>
              <w:t xml:space="preserve">  2.96</w:t>
            </w:r>
          </w:p>
        </w:tc>
      </w:tr>
    </w:tbl>
    <w:p w:rsidR="0059386B" w:rsidRDefault="0059386B" w:rsidP="00491580">
      <w:pPr>
        <w:pStyle w:val="BodyText"/>
        <w:tabs>
          <w:tab w:val="left" w:pos="540"/>
          <w:tab w:val="left" w:pos="630"/>
          <w:tab w:val="left" w:pos="1080"/>
        </w:tabs>
        <w:ind w:left="1080" w:right="-450" w:hanging="1800"/>
        <w:rPr>
          <w:sz w:val="20"/>
        </w:rPr>
      </w:pPr>
    </w:p>
    <w:p w:rsidR="0010433A" w:rsidRDefault="0010433A" w:rsidP="00FE0F58">
      <w:pPr>
        <w:pStyle w:val="BodyText"/>
        <w:tabs>
          <w:tab w:val="left" w:pos="540"/>
          <w:tab w:val="left" w:pos="630"/>
          <w:tab w:val="left" w:pos="1080"/>
        </w:tabs>
        <w:ind w:left="1080" w:hanging="1800"/>
        <w:rPr>
          <w:sz w:val="20"/>
        </w:rPr>
      </w:pPr>
      <w:r>
        <w:rPr>
          <w:sz w:val="20"/>
        </w:rPr>
        <w:tab/>
      </w:r>
      <w:r>
        <w:rPr>
          <w:sz w:val="20"/>
        </w:rPr>
        <w:tab/>
      </w:r>
      <w:r>
        <w:rPr>
          <w:sz w:val="20"/>
        </w:rPr>
        <w:tab/>
        <w:t xml:space="preserve">* </w:t>
      </w:r>
      <w:r w:rsidR="00BB1583">
        <w:rPr>
          <w:sz w:val="20"/>
        </w:rPr>
        <w:t>The conversion of warrants (conversion price pre-determined at RM1.00 per ordinary share) into ordinary shares is anti-dilutive, and hence excluded in the calculation of diluted earnings per share.</w:t>
      </w:r>
    </w:p>
    <w:p w:rsidR="00FE0F58" w:rsidRDefault="00FE0F58" w:rsidP="00491580">
      <w:pPr>
        <w:pStyle w:val="BodyText"/>
        <w:tabs>
          <w:tab w:val="left" w:pos="540"/>
          <w:tab w:val="left" w:pos="630"/>
          <w:tab w:val="left" w:pos="1080"/>
        </w:tabs>
        <w:ind w:left="1080" w:right="-450" w:hanging="1800"/>
        <w:rPr>
          <w:sz w:val="20"/>
        </w:rPr>
      </w:pPr>
    </w:p>
    <w:p w:rsidR="00FE0F58" w:rsidRDefault="00FE0F58" w:rsidP="00491580">
      <w:pPr>
        <w:pStyle w:val="BodyText"/>
        <w:tabs>
          <w:tab w:val="left" w:pos="540"/>
          <w:tab w:val="left" w:pos="630"/>
          <w:tab w:val="left" w:pos="1080"/>
        </w:tabs>
        <w:ind w:left="1080" w:right="-450" w:hanging="1800"/>
        <w:rPr>
          <w:sz w:val="20"/>
        </w:rPr>
      </w:pPr>
    </w:p>
    <w:p w:rsidR="00FE0F58" w:rsidRPr="001B7B87" w:rsidRDefault="00FE0F58" w:rsidP="00491580">
      <w:pPr>
        <w:pStyle w:val="BodyText"/>
        <w:tabs>
          <w:tab w:val="left" w:pos="540"/>
          <w:tab w:val="left" w:pos="630"/>
          <w:tab w:val="left" w:pos="1080"/>
        </w:tabs>
        <w:ind w:left="1080" w:right="-450" w:hanging="1800"/>
        <w:rPr>
          <w:sz w:val="20"/>
        </w:rPr>
      </w:pPr>
    </w:p>
    <w:p w:rsidR="009A4995" w:rsidRDefault="006B5E5F" w:rsidP="00B13259">
      <w:pPr>
        <w:pStyle w:val="BodyText"/>
        <w:tabs>
          <w:tab w:val="left" w:pos="540"/>
          <w:tab w:val="left" w:pos="630"/>
          <w:tab w:val="left" w:pos="1350"/>
        </w:tabs>
        <w:ind w:left="810" w:hanging="1800"/>
        <w:rPr>
          <w:sz w:val="20"/>
        </w:rPr>
      </w:pPr>
      <w:r w:rsidRPr="001B7B87">
        <w:rPr>
          <w:sz w:val="20"/>
        </w:rPr>
        <w:tab/>
      </w:r>
      <w:r w:rsidRPr="001B7B87">
        <w:rPr>
          <w:sz w:val="20"/>
        </w:rPr>
        <w:tab/>
      </w:r>
    </w:p>
    <w:p w:rsidR="007E1095" w:rsidRPr="007E1095" w:rsidRDefault="007E1095" w:rsidP="007E1095">
      <w:pPr>
        <w:pStyle w:val="BodyText"/>
        <w:tabs>
          <w:tab w:val="left" w:pos="360"/>
          <w:tab w:val="left" w:pos="540"/>
          <w:tab w:val="left" w:pos="630"/>
          <w:tab w:val="left" w:pos="1080"/>
        </w:tabs>
        <w:ind w:left="720" w:right="-450" w:hanging="720"/>
        <w:rPr>
          <w:b/>
          <w:sz w:val="20"/>
        </w:rPr>
      </w:pPr>
      <w:r w:rsidRPr="00764F09">
        <w:rPr>
          <w:b/>
          <w:sz w:val="20"/>
        </w:rPr>
        <w:t>B1</w:t>
      </w:r>
      <w:r w:rsidR="004E6F8B" w:rsidRPr="00764F09">
        <w:rPr>
          <w:b/>
          <w:sz w:val="20"/>
        </w:rPr>
        <w:t>4</w:t>
      </w:r>
      <w:r>
        <w:rPr>
          <w:sz w:val="20"/>
        </w:rPr>
        <w:tab/>
      </w:r>
      <w:r>
        <w:rPr>
          <w:sz w:val="20"/>
        </w:rPr>
        <w:tab/>
      </w:r>
      <w:r>
        <w:rPr>
          <w:sz w:val="20"/>
        </w:rPr>
        <w:tab/>
      </w:r>
      <w:proofErr w:type="spellStart"/>
      <w:r>
        <w:rPr>
          <w:b/>
          <w:sz w:val="20"/>
        </w:rPr>
        <w:t>Realised</w:t>
      </w:r>
      <w:proofErr w:type="spellEnd"/>
      <w:r>
        <w:rPr>
          <w:b/>
          <w:sz w:val="20"/>
        </w:rPr>
        <w:t xml:space="preserve"> and </w:t>
      </w:r>
      <w:proofErr w:type="spellStart"/>
      <w:r>
        <w:rPr>
          <w:b/>
          <w:sz w:val="20"/>
        </w:rPr>
        <w:t>Unrealised</w:t>
      </w:r>
      <w:proofErr w:type="spellEnd"/>
      <w:r>
        <w:rPr>
          <w:b/>
          <w:sz w:val="20"/>
        </w:rPr>
        <w:t xml:space="preserve"> Profits/Losses</w:t>
      </w:r>
    </w:p>
    <w:tbl>
      <w:tblPr>
        <w:tblW w:w="8280" w:type="dxa"/>
        <w:tblInd w:w="1098" w:type="dxa"/>
        <w:tblLayout w:type="fixed"/>
        <w:tblLook w:val="0000"/>
      </w:tblPr>
      <w:tblGrid>
        <w:gridCol w:w="5310"/>
        <w:gridCol w:w="1530"/>
        <w:gridCol w:w="1440"/>
      </w:tblGrid>
      <w:tr w:rsidR="007E1095" w:rsidTr="00BE35B2">
        <w:tc>
          <w:tcPr>
            <w:tcW w:w="5310" w:type="dxa"/>
          </w:tcPr>
          <w:p w:rsidR="007E1095" w:rsidRPr="001B7B87" w:rsidRDefault="007E1095" w:rsidP="007E1095">
            <w:pPr>
              <w:pStyle w:val="BodyText"/>
              <w:tabs>
                <w:tab w:val="left" w:pos="360"/>
                <w:tab w:val="left" w:pos="540"/>
                <w:tab w:val="left" w:pos="630"/>
                <w:tab w:val="left" w:pos="1080"/>
              </w:tabs>
              <w:ind w:right="-450" w:hanging="1800"/>
              <w:rPr>
                <w:sz w:val="20"/>
              </w:rPr>
            </w:pPr>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E1095" w:rsidRPr="0048133B" w:rsidRDefault="00BE35B2" w:rsidP="007E1095">
            <w:pPr>
              <w:pStyle w:val="BodyText"/>
              <w:tabs>
                <w:tab w:val="left" w:pos="360"/>
                <w:tab w:val="left" w:pos="540"/>
                <w:tab w:val="left" w:pos="630"/>
                <w:tab w:val="left" w:pos="1080"/>
              </w:tabs>
              <w:ind w:right="-108" w:hanging="108"/>
              <w:jc w:val="center"/>
              <w:rPr>
                <w:b/>
                <w:sz w:val="18"/>
              </w:rPr>
            </w:pPr>
            <w:r w:rsidRPr="0048133B">
              <w:rPr>
                <w:b/>
                <w:sz w:val="18"/>
              </w:rPr>
              <w:t xml:space="preserve">AS AT </w:t>
            </w:r>
            <w:r w:rsidR="00D61CD9" w:rsidRPr="0048133B">
              <w:rPr>
                <w:b/>
                <w:sz w:val="18"/>
              </w:rPr>
              <w:t xml:space="preserve">                  </w:t>
            </w:r>
            <w:r w:rsidR="00022382" w:rsidRPr="0048133B">
              <w:rPr>
                <w:b/>
                <w:sz w:val="18"/>
              </w:rPr>
              <w:t>3</w:t>
            </w:r>
            <w:r w:rsidR="005D7036">
              <w:rPr>
                <w:b/>
                <w:sz w:val="18"/>
              </w:rPr>
              <w:t>0</w:t>
            </w:r>
            <w:r w:rsidR="00022382" w:rsidRPr="0048133B">
              <w:rPr>
                <w:b/>
                <w:sz w:val="18"/>
              </w:rPr>
              <w:t>/</w:t>
            </w:r>
            <w:r w:rsidR="005D7036">
              <w:rPr>
                <w:b/>
                <w:sz w:val="18"/>
              </w:rPr>
              <w:t>6</w:t>
            </w:r>
            <w:r w:rsidR="00022382" w:rsidRPr="0048133B">
              <w:rPr>
                <w:b/>
                <w:sz w:val="18"/>
              </w:rPr>
              <w:t>/</w:t>
            </w:r>
            <w:r w:rsidR="001C3AE6" w:rsidRPr="0048133B">
              <w:rPr>
                <w:b/>
                <w:sz w:val="18"/>
              </w:rPr>
              <w:t>201</w:t>
            </w:r>
            <w:r w:rsidR="00FB27E0" w:rsidRPr="0048133B">
              <w:rPr>
                <w:b/>
                <w:sz w:val="18"/>
              </w:rPr>
              <w:t>2</w:t>
            </w:r>
          </w:p>
          <w:p w:rsidR="00BE35B2" w:rsidRPr="0048133B" w:rsidRDefault="00BE35B2" w:rsidP="007E1095">
            <w:pPr>
              <w:pStyle w:val="BodyText"/>
              <w:tabs>
                <w:tab w:val="left" w:pos="360"/>
                <w:tab w:val="left" w:pos="540"/>
                <w:tab w:val="left" w:pos="630"/>
                <w:tab w:val="left" w:pos="1080"/>
              </w:tabs>
              <w:ind w:right="-108" w:hanging="108"/>
              <w:jc w:val="center"/>
              <w:rPr>
                <w:b/>
                <w:sz w:val="18"/>
              </w:rPr>
            </w:pPr>
            <w:r w:rsidRPr="0048133B">
              <w:rPr>
                <w:b/>
                <w:sz w:val="18"/>
              </w:rPr>
              <w:t>RM’000</w:t>
            </w:r>
          </w:p>
        </w:tc>
        <w:tc>
          <w:tcPr>
            <w:tcW w:w="1440" w:type="dxa"/>
            <w:tcBorders>
              <w:top w:val="single" w:sz="4" w:space="0" w:color="auto"/>
              <w:left w:val="nil"/>
              <w:bottom w:val="single" w:sz="4" w:space="0" w:color="auto"/>
              <w:right w:val="single" w:sz="4" w:space="0" w:color="auto"/>
            </w:tcBorders>
          </w:tcPr>
          <w:p w:rsidR="007E1095" w:rsidRDefault="00BE35B2" w:rsidP="00BE35B2">
            <w:pPr>
              <w:pStyle w:val="BodyText"/>
              <w:tabs>
                <w:tab w:val="left" w:pos="360"/>
                <w:tab w:val="left" w:pos="540"/>
                <w:tab w:val="left" w:pos="702"/>
                <w:tab w:val="left" w:pos="1080"/>
              </w:tabs>
              <w:ind w:right="-108" w:hanging="108"/>
              <w:jc w:val="center"/>
              <w:rPr>
                <w:b/>
                <w:sz w:val="18"/>
              </w:rPr>
            </w:pPr>
            <w:r>
              <w:rPr>
                <w:b/>
                <w:sz w:val="18"/>
              </w:rPr>
              <w:t xml:space="preserve">AS AT </w:t>
            </w:r>
            <w:r w:rsidR="00D61CD9">
              <w:rPr>
                <w:b/>
                <w:sz w:val="18"/>
              </w:rPr>
              <w:t xml:space="preserve">                </w:t>
            </w:r>
            <w:r w:rsidR="00FB27E0">
              <w:rPr>
                <w:b/>
                <w:sz w:val="18"/>
              </w:rPr>
              <w:t>31/12/2011</w:t>
            </w:r>
          </w:p>
          <w:p w:rsidR="00BE35B2" w:rsidRDefault="00BE35B2" w:rsidP="00BE35B2">
            <w:pPr>
              <w:pStyle w:val="BodyText"/>
              <w:tabs>
                <w:tab w:val="left" w:pos="360"/>
                <w:tab w:val="left" w:pos="540"/>
                <w:tab w:val="left" w:pos="702"/>
                <w:tab w:val="left" w:pos="1080"/>
              </w:tabs>
              <w:ind w:right="-108" w:hanging="108"/>
              <w:jc w:val="center"/>
              <w:rPr>
                <w:b/>
                <w:sz w:val="18"/>
              </w:rPr>
            </w:pPr>
            <w:r>
              <w:rPr>
                <w:b/>
                <w:sz w:val="18"/>
              </w:rPr>
              <w:t>RM’000</w:t>
            </w:r>
          </w:p>
        </w:tc>
      </w:tr>
      <w:tr w:rsidR="007E1095" w:rsidRPr="001B7B87" w:rsidTr="00BE35B2">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rPr>
                <w:sz w:val="20"/>
              </w:rPr>
            </w:pPr>
          </w:p>
        </w:tc>
        <w:tc>
          <w:tcPr>
            <w:tcW w:w="1530" w:type="dxa"/>
            <w:tcBorders>
              <w:top w:val="single" w:sz="4" w:space="0" w:color="auto"/>
              <w:left w:val="single" w:sz="4" w:space="0" w:color="auto"/>
              <w:right w:val="single" w:sz="4" w:space="0" w:color="auto"/>
            </w:tcBorders>
          </w:tcPr>
          <w:p w:rsidR="007E1095" w:rsidRPr="005D7036" w:rsidRDefault="007E1095" w:rsidP="007E1095">
            <w:pPr>
              <w:pStyle w:val="BodyText"/>
              <w:tabs>
                <w:tab w:val="left" w:pos="360"/>
                <w:tab w:val="left" w:pos="540"/>
                <w:tab w:val="left" w:pos="630"/>
                <w:tab w:val="left" w:pos="1080"/>
              </w:tabs>
              <w:ind w:right="-450" w:hanging="1800"/>
              <w:jc w:val="right"/>
              <w:rPr>
                <w:sz w:val="20"/>
                <w:highlight w:val="yellow"/>
              </w:rPr>
            </w:pPr>
          </w:p>
        </w:tc>
        <w:tc>
          <w:tcPr>
            <w:tcW w:w="1440" w:type="dxa"/>
            <w:tcBorders>
              <w:top w:val="single" w:sz="4" w:space="0" w:color="auto"/>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80"/>
              </w:tabs>
              <w:ind w:right="-450" w:hanging="1800"/>
              <w:jc w:val="right"/>
              <w:rPr>
                <w:sz w:val="20"/>
                <w:highlight w:val="yellow"/>
              </w:rPr>
            </w:pPr>
          </w:p>
        </w:tc>
      </w:tr>
      <w:tr w:rsidR="007E1095" w:rsidRPr="001B7B87" w:rsidTr="00BE35B2">
        <w:tc>
          <w:tcPr>
            <w:tcW w:w="5310" w:type="dxa"/>
            <w:tcBorders>
              <w:right w:val="single" w:sz="4" w:space="0" w:color="auto"/>
            </w:tcBorders>
          </w:tcPr>
          <w:p w:rsidR="007E1095" w:rsidRPr="001B7B87" w:rsidRDefault="00BE35B2" w:rsidP="00AB0E3B">
            <w:pPr>
              <w:pStyle w:val="BodyText"/>
              <w:tabs>
                <w:tab w:val="left" w:pos="15"/>
                <w:tab w:val="left" w:pos="360"/>
                <w:tab w:val="left" w:pos="540"/>
                <w:tab w:val="left" w:pos="630"/>
                <w:tab w:val="left" w:pos="1080"/>
              </w:tabs>
              <w:ind w:left="-108" w:right="-108"/>
              <w:jc w:val="left"/>
              <w:rPr>
                <w:sz w:val="20"/>
              </w:rPr>
            </w:pPr>
            <w:r>
              <w:rPr>
                <w:sz w:val="20"/>
              </w:rPr>
              <w:t>Total retained profits</w:t>
            </w:r>
            <w:r w:rsidR="004E6F8B">
              <w:rPr>
                <w:sz w:val="20"/>
              </w:rPr>
              <w:t xml:space="preserve"> of </w:t>
            </w:r>
            <w:proofErr w:type="spellStart"/>
            <w:r w:rsidR="004E6F8B">
              <w:rPr>
                <w:sz w:val="20"/>
              </w:rPr>
              <w:t>MBfH</w:t>
            </w:r>
            <w:proofErr w:type="spellEnd"/>
            <w:r>
              <w:rPr>
                <w:sz w:val="20"/>
              </w:rPr>
              <w:t xml:space="preserve"> and its subsidiaries</w:t>
            </w:r>
          </w:p>
        </w:tc>
        <w:tc>
          <w:tcPr>
            <w:tcW w:w="1530" w:type="dxa"/>
            <w:tcBorders>
              <w:left w:val="single" w:sz="4" w:space="0" w:color="auto"/>
              <w:right w:val="single" w:sz="4" w:space="0" w:color="auto"/>
            </w:tcBorders>
          </w:tcPr>
          <w:p w:rsidR="007E1095" w:rsidRPr="005D7036" w:rsidRDefault="007E1095" w:rsidP="00F93328">
            <w:pPr>
              <w:pStyle w:val="BodyText"/>
              <w:tabs>
                <w:tab w:val="left" w:pos="360"/>
                <w:tab w:val="left" w:pos="540"/>
                <w:tab w:val="left" w:pos="630"/>
                <w:tab w:val="left" w:pos="1062"/>
              </w:tabs>
              <w:ind w:left="-108" w:right="-108"/>
              <w:jc w:val="center"/>
              <w:rPr>
                <w:sz w:val="20"/>
                <w:highlight w:val="yellow"/>
              </w:rPr>
            </w:pPr>
          </w:p>
        </w:tc>
        <w:tc>
          <w:tcPr>
            <w:tcW w:w="1440" w:type="dxa"/>
            <w:tcBorders>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62"/>
              </w:tabs>
              <w:ind w:left="-108" w:right="-108"/>
              <w:jc w:val="center"/>
              <w:rPr>
                <w:sz w:val="20"/>
                <w:highlight w:val="yellow"/>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r>
              <w:rPr>
                <w:sz w:val="20"/>
              </w:rPr>
              <w:t xml:space="preserve"> </w:t>
            </w:r>
          </w:p>
        </w:tc>
        <w:tc>
          <w:tcPr>
            <w:tcW w:w="1530" w:type="dxa"/>
            <w:tcBorders>
              <w:left w:val="single" w:sz="4" w:space="0" w:color="auto"/>
              <w:right w:val="single" w:sz="4" w:space="0" w:color="auto"/>
            </w:tcBorders>
          </w:tcPr>
          <w:p w:rsidR="007E1095" w:rsidRPr="00845659" w:rsidRDefault="00A26F01" w:rsidP="00845659">
            <w:pPr>
              <w:pStyle w:val="BodyText"/>
              <w:tabs>
                <w:tab w:val="left" w:pos="360"/>
                <w:tab w:val="left" w:pos="540"/>
                <w:tab w:val="left" w:pos="630"/>
                <w:tab w:val="left" w:pos="1062"/>
              </w:tabs>
              <w:ind w:left="-108" w:right="-108"/>
              <w:jc w:val="center"/>
              <w:rPr>
                <w:b/>
                <w:sz w:val="20"/>
              </w:rPr>
            </w:pPr>
            <w:r w:rsidRPr="00845659">
              <w:rPr>
                <w:b/>
                <w:sz w:val="20"/>
              </w:rPr>
              <w:t xml:space="preserve"> </w:t>
            </w:r>
            <w:r w:rsidR="00F93328" w:rsidRPr="00845659">
              <w:rPr>
                <w:b/>
                <w:sz w:val="20"/>
              </w:rPr>
              <w:t xml:space="preserve"> </w:t>
            </w:r>
            <w:r w:rsidR="005C1A79" w:rsidRPr="00845659">
              <w:rPr>
                <w:b/>
                <w:sz w:val="20"/>
              </w:rPr>
              <w:t>(</w:t>
            </w:r>
            <w:r w:rsidR="00845659" w:rsidRPr="00845659">
              <w:rPr>
                <w:b/>
                <w:sz w:val="20"/>
              </w:rPr>
              <w:t>53</w:t>
            </w:r>
            <w:r w:rsidR="000D75A8" w:rsidRPr="00845659">
              <w:rPr>
                <w:b/>
                <w:sz w:val="20"/>
              </w:rPr>
              <w:t>,</w:t>
            </w:r>
            <w:r w:rsidR="00845659" w:rsidRPr="00845659">
              <w:rPr>
                <w:b/>
                <w:sz w:val="20"/>
              </w:rPr>
              <w:t>314</w:t>
            </w:r>
            <w:r w:rsidR="005C1A79" w:rsidRPr="00845659">
              <w:rPr>
                <w:b/>
                <w:sz w:val="20"/>
              </w:rPr>
              <w:t>)</w:t>
            </w:r>
          </w:p>
        </w:tc>
        <w:tc>
          <w:tcPr>
            <w:tcW w:w="1440" w:type="dxa"/>
            <w:tcBorders>
              <w:left w:val="single" w:sz="4" w:space="0" w:color="auto"/>
              <w:right w:val="single" w:sz="4" w:space="0" w:color="auto"/>
            </w:tcBorders>
          </w:tcPr>
          <w:p w:rsidR="007E1095" w:rsidRPr="001C3AE6" w:rsidRDefault="00FB27E0" w:rsidP="00FB27E0">
            <w:pPr>
              <w:pStyle w:val="BodyText"/>
              <w:tabs>
                <w:tab w:val="left" w:pos="360"/>
                <w:tab w:val="left" w:pos="540"/>
                <w:tab w:val="left" w:pos="630"/>
                <w:tab w:val="left" w:pos="1062"/>
              </w:tabs>
              <w:ind w:left="-108" w:right="-108"/>
              <w:jc w:val="center"/>
              <w:rPr>
                <w:sz w:val="20"/>
              </w:rPr>
            </w:pPr>
            <w:r>
              <w:rPr>
                <w:sz w:val="20"/>
              </w:rPr>
              <w:t xml:space="preserve"> </w:t>
            </w:r>
            <w:r w:rsidR="001C3AE6" w:rsidRPr="001C3AE6">
              <w:rPr>
                <w:sz w:val="20"/>
              </w:rPr>
              <w:t>(</w:t>
            </w:r>
            <w:r>
              <w:rPr>
                <w:sz w:val="20"/>
              </w:rPr>
              <w:t>47,880</w:t>
            </w:r>
            <w:r w:rsidR="001C3AE6" w:rsidRPr="001C3AE6">
              <w:rPr>
                <w:sz w:val="20"/>
              </w:rPr>
              <w:t>)</w:t>
            </w: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Unrealised</w:t>
            </w:r>
            <w:proofErr w:type="spellEnd"/>
          </w:p>
        </w:tc>
        <w:tc>
          <w:tcPr>
            <w:tcW w:w="1530" w:type="dxa"/>
            <w:tcBorders>
              <w:left w:val="single" w:sz="4" w:space="0" w:color="auto"/>
              <w:bottom w:val="single" w:sz="4" w:space="0" w:color="auto"/>
              <w:right w:val="single" w:sz="4" w:space="0" w:color="auto"/>
            </w:tcBorders>
          </w:tcPr>
          <w:p w:rsidR="007E1095" w:rsidRPr="00845659" w:rsidRDefault="00917A58" w:rsidP="0048133B">
            <w:pPr>
              <w:pStyle w:val="BodyText"/>
              <w:tabs>
                <w:tab w:val="left" w:pos="360"/>
                <w:tab w:val="left" w:pos="540"/>
                <w:tab w:val="left" w:pos="630"/>
                <w:tab w:val="left" w:pos="1062"/>
              </w:tabs>
              <w:ind w:left="-108" w:right="-108"/>
              <w:jc w:val="center"/>
              <w:rPr>
                <w:b/>
                <w:sz w:val="20"/>
              </w:rPr>
            </w:pPr>
            <w:r w:rsidRPr="00845659">
              <w:rPr>
                <w:b/>
                <w:sz w:val="20"/>
              </w:rPr>
              <w:t xml:space="preserve">  </w:t>
            </w:r>
            <w:r w:rsidR="00845659" w:rsidRPr="00845659">
              <w:rPr>
                <w:b/>
                <w:sz w:val="20"/>
              </w:rPr>
              <w:t>69,547</w:t>
            </w:r>
          </w:p>
        </w:tc>
        <w:tc>
          <w:tcPr>
            <w:tcW w:w="1440" w:type="dxa"/>
            <w:tcBorders>
              <w:left w:val="single" w:sz="4" w:space="0" w:color="auto"/>
              <w:bottom w:val="single" w:sz="4" w:space="0" w:color="auto"/>
              <w:right w:val="single" w:sz="4" w:space="0" w:color="auto"/>
            </w:tcBorders>
          </w:tcPr>
          <w:p w:rsidR="007E1095" w:rsidRPr="001C3AE6" w:rsidRDefault="00BD2040" w:rsidP="00BD2040">
            <w:pPr>
              <w:pStyle w:val="BodyText"/>
              <w:tabs>
                <w:tab w:val="left" w:pos="360"/>
                <w:tab w:val="left" w:pos="540"/>
                <w:tab w:val="left" w:pos="630"/>
                <w:tab w:val="left" w:pos="1062"/>
              </w:tabs>
              <w:ind w:left="-108" w:right="-108"/>
              <w:rPr>
                <w:sz w:val="20"/>
              </w:rPr>
            </w:pPr>
            <w:r>
              <w:rPr>
                <w:sz w:val="20"/>
              </w:rPr>
              <w:t xml:space="preserve">  </w:t>
            </w:r>
            <w:r w:rsidR="00FB27E0">
              <w:rPr>
                <w:sz w:val="20"/>
              </w:rPr>
              <w:t xml:space="preserve"> </w:t>
            </w:r>
            <w:r w:rsidR="001C3AE6" w:rsidRPr="001C3AE6">
              <w:rPr>
                <w:sz w:val="20"/>
              </w:rPr>
              <w:t xml:space="preserve">      </w:t>
            </w:r>
            <w:r>
              <w:rPr>
                <w:sz w:val="20"/>
              </w:rPr>
              <w:t>71,921</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top w:val="single" w:sz="4" w:space="0" w:color="auto"/>
              <w:left w:val="single" w:sz="4" w:space="0" w:color="auto"/>
              <w:right w:val="single" w:sz="4" w:space="0" w:color="auto"/>
            </w:tcBorders>
          </w:tcPr>
          <w:p w:rsidR="007E1095" w:rsidRPr="00845659" w:rsidRDefault="00F93328" w:rsidP="00845659">
            <w:pPr>
              <w:pStyle w:val="BodyText"/>
              <w:tabs>
                <w:tab w:val="left" w:pos="360"/>
                <w:tab w:val="left" w:pos="540"/>
                <w:tab w:val="left" w:pos="630"/>
                <w:tab w:val="left" w:pos="1062"/>
              </w:tabs>
              <w:ind w:left="-108" w:right="-108"/>
              <w:jc w:val="center"/>
              <w:rPr>
                <w:b/>
                <w:sz w:val="20"/>
              </w:rPr>
            </w:pPr>
            <w:r w:rsidRPr="00845659">
              <w:rPr>
                <w:b/>
                <w:sz w:val="20"/>
              </w:rPr>
              <w:t xml:space="preserve">  </w:t>
            </w:r>
            <w:r w:rsidR="00A04AB7" w:rsidRPr="00845659">
              <w:rPr>
                <w:b/>
                <w:sz w:val="20"/>
              </w:rPr>
              <w:t>1</w:t>
            </w:r>
            <w:r w:rsidR="00845659" w:rsidRPr="00845659">
              <w:rPr>
                <w:b/>
                <w:sz w:val="20"/>
              </w:rPr>
              <w:t>6</w:t>
            </w:r>
            <w:r w:rsidR="0048133B" w:rsidRPr="00845659">
              <w:rPr>
                <w:b/>
                <w:sz w:val="20"/>
              </w:rPr>
              <w:t>,</w:t>
            </w:r>
            <w:r w:rsidR="00845659" w:rsidRPr="00845659">
              <w:rPr>
                <w:b/>
                <w:sz w:val="20"/>
              </w:rPr>
              <w:t>233</w:t>
            </w:r>
          </w:p>
        </w:tc>
        <w:tc>
          <w:tcPr>
            <w:tcW w:w="1440" w:type="dxa"/>
            <w:tcBorders>
              <w:top w:val="single" w:sz="4" w:space="0" w:color="auto"/>
              <w:left w:val="single" w:sz="4" w:space="0" w:color="auto"/>
              <w:right w:val="single" w:sz="4" w:space="0" w:color="auto"/>
            </w:tcBorders>
          </w:tcPr>
          <w:p w:rsidR="007E1095" w:rsidRPr="001C3AE6" w:rsidRDefault="00FB27E0" w:rsidP="00BD2040">
            <w:pPr>
              <w:pStyle w:val="BodyText"/>
              <w:tabs>
                <w:tab w:val="left" w:pos="360"/>
                <w:tab w:val="left" w:pos="540"/>
                <w:tab w:val="left" w:pos="630"/>
                <w:tab w:val="left" w:pos="1062"/>
              </w:tabs>
              <w:ind w:left="-108" w:right="-108"/>
              <w:rPr>
                <w:sz w:val="20"/>
              </w:rPr>
            </w:pPr>
            <w:r>
              <w:rPr>
                <w:sz w:val="20"/>
              </w:rPr>
              <w:t xml:space="preserve">         </w:t>
            </w:r>
            <w:r w:rsidR="00BD2040">
              <w:rPr>
                <w:sz w:val="20"/>
              </w:rPr>
              <w:t>24</w:t>
            </w:r>
            <w:r>
              <w:rPr>
                <w:sz w:val="20"/>
              </w:rPr>
              <w:t>,</w:t>
            </w:r>
            <w:r w:rsidR="00BD2040">
              <w:rPr>
                <w:sz w:val="20"/>
              </w:rPr>
              <w:t>041</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left w:val="single" w:sz="4" w:space="0" w:color="auto"/>
              <w:right w:val="single" w:sz="4" w:space="0" w:color="auto"/>
            </w:tcBorders>
          </w:tcPr>
          <w:p w:rsidR="007E1095" w:rsidRPr="00845659" w:rsidRDefault="007E109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CA528C" w:rsidTr="009669BC">
        <w:tc>
          <w:tcPr>
            <w:tcW w:w="5310" w:type="dxa"/>
            <w:tcBorders>
              <w:right w:val="single" w:sz="4" w:space="0" w:color="auto"/>
            </w:tcBorders>
          </w:tcPr>
          <w:p w:rsidR="007E1095" w:rsidRPr="001B7B87" w:rsidRDefault="009669BC" w:rsidP="007E1095">
            <w:pPr>
              <w:pStyle w:val="BodyText"/>
              <w:tabs>
                <w:tab w:val="left" w:pos="360"/>
                <w:tab w:val="left" w:pos="540"/>
                <w:tab w:val="left" w:pos="630"/>
                <w:tab w:val="left" w:pos="1080"/>
              </w:tabs>
              <w:ind w:left="-108" w:right="-108"/>
              <w:jc w:val="left"/>
              <w:rPr>
                <w:sz w:val="20"/>
              </w:rPr>
            </w:pPr>
            <w:r>
              <w:rPr>
                <w:sz w:val="20"/>
              </w:rPr>
              <w:t>Total share of retai</w:t>
            </w:r>
            <w:r w:rsidR="00200B5D">
              <w:rPr>
                <w:sz w:val="20"/>
              </w:rPr>
              <w:t>ned profits</w:t>
            </w:r>
            <w:r>
              <w:rPr>
                <w:sz w:val="20"/>
              </w:rPr>
              <w:t xml:space="preserve"> from associated companies:</w:t>
            </w:r>
          </w:p>
        </w:tc>
        <w:tc>
          <w:tcPr>
            <w:tcW w:w="1530" w:type="dxa"/>
            <w:tcBorders>
              <w:left w:val="single" w:sz="4" w:space="0" w:color="auto"/>
              <w:right w:val="single" w:sz="4" w:space="0" w:color="auto"/>
            </w:tcBorders>
          </w:tcPr>
          <w:p w:rsidR="007E1095" w:rsidRPr="00845659" w:rsidRDefault="007E109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1B7B87" w:rsidTr="004E47BA">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p>
        </w:tc>
        <w:tc>
          <w:tcPr>
            <w:tcW w:w="1530" w:type="dxa"/>
            <w:tcBorders>
              <w:left w:val="single" w:sz="4" w:space="0" w:color="auto"/>
              <w:bottom w:val="single" w:sz="2" w:space="0" w:color="auto"/>
              <w:right w:val="single" w:sz="4" w:space="0" w:color="auto"/>
            </w:tcBorders>
          </w:tcPr>
          <w:p w:rsidR="007E1095" w:rsidRPr="00845659" w:rsidRDefault="00F93328" w:rsidP="00F93328">
            <w:pPr>
              <w:pStyle w:val="BodyText"/>
              <w:tabs>
                <w:tab w:val="left" w:pos="360"/>
                <w:tab w:val="left" w:pos="540"/>
                <w:tab w:val="left" w:pos="630"/>
                <w:tab w:val="left" w:pos="1062"/>
              </w:tabs>
              <w:ind w:left="-108" w:right="-108"/>
              <w:jc w:val="center"/>
              <w:rPr>
                <w:b/>
                <w:sz w:val="20"/>
              </w:rPr>
            </w:pPr>
            <w:r w:rsidRPr="00845659">
              <w:rPr>
                <w:b/>
                <w:sz w:val="20"/>
              </w:rPr>
              <w:t xml:space="preserve">    </w:t>
            </w:r>
            <w:r w:rsidR="0048133B" w:rsidRPr="00845659">
              <w:rPr>
                <w:b/>
                <w:sz w:val="20"/>
              </w:rPr>
              <w:t>5,</w:t>
            </w:r>
            <w:r w:rsidR="00845659" w:rsidRPr="00845659">
              <w:rPr>
                <w:b/>
                <w:sz w:val="20"/>
              </w:rPr>
              <w:t>703</w:t>
            </w:r>
          </w:p>
          <w:p w:rsidR="00BC1945" w:rsidRPr="00845659" w:rsidRDefault="00BC1945" w:rsidP="00F93328">
            <w:pPr>
              <w:pStyle w:val="BodyText"/>
              <w:tabs>
                <w:tab w:val="left" w:pos="360"/>
                <w:tab w:val="left" w:pos="540"/>
                <w:tab w:val="left" w:pos="630"/>
                <w:tab w:val="left" w:pos="1062"/>
              </w:tabs>
              <w:ind w:left="-108" w:right="-108"/>
              <w:jc w:val="center"/>
              <w:rPr>
                <w:b/>
                <w:sz w:val="20"/>
              </w:rPr>
            </w:pPr>
          </w:p>
        </w:tc>
        <w:tc>
          <w:tcPr>
            <w:tcW w:w="1440" w:type="dxa"/>
            <w:tcBorders>
              <w:left w:val="single" w:sz="4" w:space="0" w:color="auto"/>
              <w:bottom w:val="single" w:sz="2" w:space="0" w:color="auto"/>
              <w:right w:val="single" w:sz="4" w:space="0" w:color="auto"/>
            </w:tcBorders>
          </w:tcPr>
          <w:p w:rsidR="007E1095" w:rsidRPr="001C3AE6" w:rsidRDefault="00FB27E0" w:rsidP="001C3AE6">
            <w:pPr>
              <w:pStyle w:val="BodyText"/>
              <w:tabs>
                <w:tab w:val="left" w:pos="360"/>
                <w:tab w:val="left" w:pos="540"/>
                <w:tab w:val="left" w:pos="630"/>
                <w:tab w:val="left" w:pos="1062"/>
              </w:tabs>
              <w:ind w:left="-108" w:right="-108"/>
              <w:jc w:val="center"/>
              <w:rPr>
                <w:sz w:val="20"/>
              </w:rPr>
            </w:pPr>
            <w:r>
              <w:rPr>
                <w:sz w:val="20"/>
              </w:rPr>
              <w:t xml:space="preserve">    3,741</w:t>
            </w:r>
          </w:p>
        </w:tc>
      </w:tr>
      <w:tr w:rsidR="00925D7B" w:rsidRPr="001B7B87" w:rsidTr="004E47BA">
        <w:tc>
          <w:tcPr>
            <w:tcW w:w="5310" w:type="dxa"/>
            <w:tcBorders>
              <w:right w:val="single" w:sz="2" w:space="0" w:color="auto"/>
            </w:tcBorders>
          </w:tcPr>
          <w:p w:rsidR="00925D7B" w:rsidRPr="001B7B87" w:rsidRDefault="00832469" w:rsidP="00832469">
            <w:pPr>
              <w:pStyle w:val="BodyText"/>
              <w:tabs>
                <w:tab w:val="left" w:pos="360"/>
                <w:tab w:val="left" w:pos="540"/>
                <w:tab w:val="left" w:pos="630"/>
                <w:tab w:val="left" w:pos="1080"/>
              </w:tabs>
              <w:ind w:left="-108" w:right="-108"/>
              <w:jc w:val="left"/>
              <w:rPr>
                <w:sz w:val="20"/>
              </w:rPr>
            </w:pPr>
            <w:r>
              <w:rPr>
                <w:sz w:val="20"/>
              </w:rPr>
              <w:t>Total G</w:t>
            </w:r>
            <w:r w:rsidR="005B47E3">
              <w:rPr>
                <w:sz w:val="20"/>
              </w:rPr>
              <w:t>roup retained profits</w:t>
            </w:r>
          </w:p>
        </w:tc>
        <w:tc>
          <w:tcPr>
            <w:tcW w:w="1530" w:type="dxa"/>
            <w:tcBorders>
              <w:top w:val="single" w:sz="2" w:space="0" w:color="auto"/>
              <w:left w:val="single" w:sz="2" w:space="0" w:color="auto"/>
              <w:bottom w:val="single" w:sz="12" w:space="0" w:color="auto"/>
              <w:right w:val="single" w:sz="2" w:space="0" w:color="auto"/>
            </w:tcBorders>
            <w:shd w:val="clear" w:color="auto" w:fill="auto"/>
          </w:tcPr>
          <w:p w:rsidR="00925D7B" w:rsidRPr="00845659" w:rsidRDefault="00F93328" w:rsidP="00A04AB7">
            <w:pPr>
              <w:pStyle w:val="BodyText"/>
              <w:tabs>
                <w:tab w:val="left" w:pos="360"/>
                <w:tab w:val="left" w:pos="540"/>
                <w:tab w:val="left" w:pos="630"/>
                <w:tab w:val="left" w:pos="1062"/>
              </w:tabs>
              <w:ind w:left="-108" w:right="-108"/>
              <w:jc w:val="center"/>
              <w:rPr>
                <w:b/>
                <w:sz w:val="20"/>
              </w:rPr>
            </w:pPr>
            <w:r w:rsidRPr="00845659">
              <w:rPr>
                <w:b/>
                <w:sz w:val="20"/>
              </w:rPr>
              <w:t xml:space="preserve">  </w:t>
            </w:r>
            <w:r w:rsidR="00845659" w:rsidRPr="00845659">
              <w:rPr>
                <w:b/>
                <w:sz w:val="20"/>
              </w:rPr>
              <w:t>21,936</w:t>
            </w:r>
          </w:p>
        </w:tc>
        <w:tc>
          <w:tcPr>
            <w:tcW w:w="1440" w:type="dxa"/>
            <w:tcBorders>
              <w:top w:val="single" w:sz="2" w:space="0" w:color="auto"/>
              <w:left w:val="single" w:sz="2" w:space="0" w:color="auto"/>
              <w:bottom w:val="single" w:sz="12" w:space="0" w:color="auto"/>
              <w:right w:val="single" w:sz="2" w:space="0" w:color="auto"/>
            </w:tcBorders>
          </w:tcPr>
          <w:p w:rsidR="00925D7B" w:rsidRPr="001C3AE6" w:rsidRDefault="00BD2040" w:rsidP="00E916BF">
            <w:pPr>
              <w:pStyle w:val="BodyText"/>
              <w:tabs>
                <w:tab w:val="left" w:pos="360"/>
                <w:tab w:val="left" w:pos="540"/>
                <w:tab w:val="left" w:pos="630"/>
                <w:tab w:val="left" w:pos="1062"/>
              </w:tabs>
              <w:ind w:left="-108" w:right="-108"/>
              <w:rPr>
                <w:sz w:val="20"/>
              </w:rPr>
            </w:pPr>
            <w:r>
              <w:rPr>
                <w:sz w:val="20"/>
              </w:rPr>
              <w:t xml:space="preserve"> </w:t>
            </w:r>
            <w:r w:rsidR="00FB27E0">
              <w:rPr>
                <w:sz w:val="20"/>
              </w:rPr>
              <w:t xml:space="preserve">  </w:t>
            </w:r>
            <w:r w:rsidR="001C3AE6" w:rsidRPr="001C3AE6">
              <w:rPr>
                <w:sz w:val="20"/>
              </w:rPr>
              <w:t xml:space="preserve">      </w:t>
            </w:r>
            <w:r>
              <w:rPr>
                <w:sz w:val="20"/>
              </w:rPr>
              <w:t>27</w:t>
            </w:r>
            <w:r w:rsidR="00FB27E0">
              <w:rPr>
                <w:sz w:val="20"/>
              </w:rPr>
              <w:t>,</w:t>
            </w:r>
            <w:r>
              <w:rPr>
                <w:sz w:val="20"/>
              </w:rPr>
              <w:t>782</w:t>
            </w:r>
          </w:p>
        </w:tc>
      </w:tr>
      <w:tr w:rsidR="004E47BA" w:rsidRPr="001B7B87" w:rsidTr="004E47BA">
        <w:tc>
          <w:tcPr>
            <w:tcW w:w="5310" w:type="dxa"/>
            <w:tcBorders>
              <w:right w:val="single" w:sz="4" w:space="0" w:color="auto"/>
            </w:tcBorders>
          </w:tcPr>
          <w:p w:rsidR="004E47BA" w:rsidRDefault="004E47BA" w:rsidP="00832469">
            <w:pPr>
              <w:pStyle w:val="BodyText"/>
              <w:tabs>
                <w:tab w:val="left" w:pos="360"/>
                <w:tab w:val="left" w:pos="540"/>
                <w:tab w:val="left" w:pos="630"/>
                <w:tab w:val="left" w:pos="1080"/>
              </w:tabs>
              <w:ind w:left="-108" w:right="-108"/>
              <w:jc w:val="left"/>
              <w:rPr>
                <w:sz w:val="20"/>
              </w:rPr>
            </w:pPr>
          </w:p>
          <w:p w:rsidR="004E47BA" w:rsidRDefault="004E47BA" w:rsidP="00832469">
            <w:pPr>
              <w:pStyle w:val="BodyText"/>
              <w:tabs>
                <w:tab w:val="left" w:pos="360"/>
                <w:tab w:val="left" w:pos="540"/>
                <w:tab w:val="left" w:pos="630"/>
                <w:tab w:val="left" w:pos="1080"/>
              </w:tabs>
              <w:ind w:left="-108" w:right="-108"/>
              <w:jc w:val="left"/>
              <w:rPr>
                <w:sz w:val="20"/>
              </w:rPr>
            </w:pPr>
            <w:proofErr w:type="spellStart"/>
            <w:r>
              <w:rPr>
                <w:sz w:val="20"/>
              </w:rPr>
              <w:t>Analysed</w:t>
            </w:r>
            <w:proofErr w:type="spellEnd"/>
            <w:r>
              <w:rPr>
                <w:sz w:val="20"/>
              </w:rPr>
              <w:t xml:space="preserve"> as:</w:t>
            </w:r>
          </w:p>
        </w:tc>
        <w:tc>
          <w:tcPr>
            <w:tcW w:w="1530" w:type="dxa"/>
            <w:tcBorders>
              <w:top w:val="single" w:sz="12" w:space="0" w:color="auto"/>
              <w:left w:val="single" w:sz="4" w:space="0" w:color="auto"/>
              <w:right w:val="single" w:sz="4" w:space="0" w:color="auto"/>
            </w:tcBorders>
            <w:shd w:val="clear" w:color="auto" w:fill="auto"/>
          </w:tcPr>
          <w:p w:rsidR="004E47BA" w:rsidRPr="00845659" w:rsidRDefault="004E47BA" w:rsidP="00A04AB7">
            <w:pPr>
              <w:pStyle w:val="BodyText"/>
              <w:tabs>
                <w:tab w:val="left" w:pos="360"/>
                <w:tab w:val="left" w:pos="540"/>
                <w:tab w:val="left" w:pos="630"/>
                <w:tab w:val="left" w:pos="1062"/>
              </w:tabs>
              <w:ind w:left="-108" w:right="-108"/>
              <w:jc w:val="center"/>
              <w:rPr>
                <w:b/>
                <w:sz w:val="20"/>
              </w:rPr>
            </w:pPr>
          </w:p>
        </w:tc>
        <w:tc>
          <w:tcPr>
            <w:tcW w:w="1440" w:type="dxa"/>
            <w:tcBorders>
              <w:top w:val="single" w:sz="12" w:space="0" w:color="auto"/>
              <w:left w:val="single" w:sz="4" w:space="0" w:color="auto"/>
              <w:right w:val="single" w:sz="4" w:space="0" w:color="auto"/>
            </w:tcBorders>
          </w:tcPr>
          <w:p w:rsidR="004E47BA" w:rsidRDefault="004E47BA" w:rsidP="00E916BF">
            <w:pPr>
              <w:pStyle w:val="BodyText"/>
              <w:tabs>
                <w:tab w:val="left" w:pos="360"/>
                <w:tab w:val="left" w:pos="540"/>
                <w:tab w:val="left" w:pos="630"/>
                <w:tab w:val="left" w:pos="1062"/>
              </w:tabs>
              <w:ind w:left="-108" w:right="-108"/>
              <w:rPr>
                <w:sz w:val="20"/>
              </w:rPr>
            </w:pPr>
          </w:p>
        </w:tc>
      </w:tr>
      <w:tr w:rsidR="004E47BA" w:rsidRPr="001B7B87" w:rsidTr="004E47BA">
        <w:tc>
          <w:tcPr>
            <w:tcW w:w="5310" w:type="dxa"/>
            <w:tcBorders>
              <w:right w:val="single" w:sz="4" w:space="0" w:color="auto"/>
            </w:tcBorders>
          </w:tcPr>
          <w:p w:rsidR="004E47BA" w:rsidRDefault="004E47BA" w:rsidP="004E47BA">
            <w:pPr>
              <w:pStyle w:val="BodyText"/>
              <w:tabs>
                <w:tab w:val="left" w:pos="360"/>
                <w:tab w:val="left" w:pos="540"/>
                <w:tab w:val="left" w:pos="630"/>
                <w:tab w:val="left" w:pos="1080"/>
              </w:tabs>
              <w:ind w:left="-108" w:right="-108"/>
              <w:jc w:val="left"/>
              <w:rPr>
                <w:sz w:val="20"/>
              </w:rPr>
            </w:pPr>
            <w:r>
              <w:rPr>
                <w:sz w:val="20"/>
              </w:rPr>
              <w:t>Continuing operations retained profits/accumulated losses</w:t>
            </w:r>
          </w:p>
        </w:tc>
        <w:tc>
          <w:tcPr>
            <w:tcW w:w="1530" w:type="dxa"/>
            <w:tcBorders>
              <w:left w:val="single" w:sz="4" w:space="0" w:color="auto"/>
              <w:right w:val="single" w:sz="4" w:space="0" w:color="auto"/>
            </w:tcBorders>
            <w:shd w:val="clear" w:color="auto" w:fill="auto"/>
          </w:tcPr>
          <w:p w:rsidR="004E47BA" w:rsidRPr="00845659" w:rsidRDefault="004E47BA" w:rsidP="004E47BA">
            <w:pPr>
              <w:pStyle w:val="BodyText"/>
              <w:tabs>
                <w:tab w:val="left" w:pos="360"/>
                <w:tab w:val="left" w:pos="540"/>
                <w:tab w:val="left" w:pos="630"/>
                <w:tab w:val="left" w:pos="1062"/>
              </w:tabs>
              <w:ind w:left="-108" w:right="-108"/>
              <w:jc w:val="center"/>
              <w:rPr>
                <w:b/>
                <w:sz w:val="20"/>
              </w:rPr>
            </w:pPr>
            <w:r>
              <w:rPr>
                <w:b/>
                <w:sz w:val="20"/>
              </w:rPr>
              <w:t>(190,701)</w:t>
            </w:r>
          </w:p>
        </w:tc>
        <w:tc>
          <w:tcPr>
            <w:tcW w:w="1440" w:type="dxa"/>
            <w:tcBorders>
              <w:left w:val="single" w:sz="4" w:space="0" w:color="auto"/>
              <w:right w:val="single" w:sz="4" w:space="0" w:color="auto"/>
            </w:tcBorders>
          </w:tcPr>
          <w:p w:rsidR="004E47BA" w:rsidRDefault="004E47BA" w:rsidP="00E916BF">
            <w:pPr>
              <w:pStyle w:val="BodyText"/>
              <w:tabs>
                <w:tab w:val="left" w:pos="360"/>
                <w:tab w:val="left" w:pos="540"/>
                <w:tab w:val="left" w:pos="630"/>
                <w:tab w:val="left" w:pos="1062"/>
              </w:tabs>
              <w:ind w:left="-108" w:right="-108"/>
              <w:rPr>
                <w:sz w:val="20"/>
              </w:rPr>
            </w:pPr>
            <w:r>
              <w:rPr>
                <w:sz w:val="20"/>
              </w:rPr>
              <w:t xml:space="preserve">         27,782</w:t>
            </w:r>
          </w:p>
        </w:tc>
      </w:tr>
      <w:tr w:rsidR="004E47BA" w:rsidRPr="001B7B87" w:rsidTr="004E47BA">
        <w:tc>
          <w:tcPr>
            <w:tcW w:w="5310" w:type="dxa"/>
            <w:tcBorders>
              <w:right w:val="single" w:sz="4" w:space="0" w:color="auto"/>
            </w:tcBorders>
          </w:tcPr>
          <w:p w:rsidR="004E47BA" w:rsidRDefault="004E47BA" w:rsidP="00832469">
            <w:pPr>
              <w:pStyle w:val="BodyText"/>
              <w:tabs>
                <w:tab w:val="left" w:pos="360"/>
                <w:tab w:val="left" w:pos="540"/>
                <w:tab w:val="left" w:pos="630"/>
                <w:tab w:val="left" w:pos="1080"/>
              </w:tabs>
              <w:ind w:left="-108" w:right="-108"/>
              <w:jc w:val="left"/>
              <w:rPr>
                <w:sz w:val="20"/>
              </w:rPr>
            </w:pPr>
            <w:r>
              <w:rPr>
                <w:sz w:val="20"/>
              </w:rPr>
              <w:t>Reserve of disposal group classified as held for sale</w:t>
            </w:r>
          </w:p>
        </w:tc>
        <w:tc>
          <w:tcPr>
            <w:tcW w:w="1530" w:type="dxa"/>
            <w:tcBorders>
              <w:left w:val="single" w:sz="4" w:space="0" w:color="auto"/>
              <w:right w:val="single" w:sz="4" w:space="0" w:color="auto"/>
            </w:tcBorders>
            <w:shd w:val="clear" w:color="auto" w:fill="auto"/>
          </w:tcPr>
          <w:p w:rsidR="004E47BA" w:rsidRPr="00845659" w:rsidRDefault="004E47BA" w:rsidP="00A04AB7">
            <w:pPr>
              <w:pStyle w:val="BodyText"/>
              <w:tabs>
                <w:tab w:val="left" w:pos="360"/>
                <w:tab w:val="left" w:pos="540"/>
                <w:tab w:val="left" w:pos="630"/>
                <w:tab w:val="left" w:pos="1062"/>
              </w:tabs>
              <w:ind w:left="-108" w:right="-108"/>
              <w:jc w:val="center"/>
              <w:rPr>
                <w:b/>
                <w:sz w:val="20"/>
              </w:rPr>
            </w:pPr>
            <w:r>
              <w:rPr>
                <w:b/>
                <w:sz w:val="20"/>
              </w:rPr>
              <w:t>212,637</w:t>
            </w:r>
          </w:p>
        </w:tc>
        <w:tc>
          <w:tcPr>
            <w:tcW w:w="1440" w:type="dxa"/>
            <w:tcBorders>
              <w:left w:val="single" w:sz="4" w:space="0" w:color="auto"/>
              <w:right w:val="single" w:sz="4" w:space="0" w:color="auto"/>
            </w:tcBorders>
          </w:tcPr>
          <w:p w:rsidR="004E47BA" w:rsidRDefault="004E47BA" w:rsidP="00E916BF">
            <w:pPr>
              <w:pStyle w:val="BodyText"/>
              <w:tabs>
                <w:tab w:val="left" w:pos="360"/>
                <w:tab w:val="left" w:pos="540"/>
                <w:tab w:val="left" w:pos="630"/>
                <w:tab w:val="left" w:pos="1062"/>
              </w:tabs>
              <w:ind w:left="-108" w:right="-108"/>
              <w:rPr>
                <w:sz w:val="20"/>
              </w:rPr>
            </w:pPr>
            <w:r>
              <w:rPr>
                <w:sz w:val="20"/>
              </w:rPr>
              <w:t xml:space="preserve">              -</w:t>
            </w:r>
          </w:p>
        </w:tc>
      </w:tr>
      <w:tr w:rsidR="004E47BA" w:rsidRPr="001B7B87" w:rsidTr="00022382">
        <w:tc>
          <w:tcPr>
            <w:tcW w:w="5310" w:type="dxa"/>
            <w:tcBorders>
              <w:right w:val="single" w:sz="4" w:space="0" w:color="auto"/>
            </w:tcBorders>
          </w:tcPr>
          <w:p w:rsidR="004E47BA" w:rsidRDefault="004E47BA" w:rsidP="00832469">
            <w:pPr>
              <w:pStyle w:val="BodyText"/>
              <w:tabs>
                <w:tab w:val="left" w:pos="360"/>
                <w:tab w:val="left" w:pos="540"/>
                <w:tab w:val="left" w:pos="630"/>
                <w:tab w:val="left" w:pos="1080"/>
              </w:tabs>
              <w:ind w:left="-108" w:right="-108"/>
              <w:jc w:val="left"/>
              <w:rPr>
                <w:sz w:val="20"/>
              </w:rPr>
            </w:pPr>
          </w:p>
        </w:tc>
        <w:tc>
          <w:tcPr>
            <w:tcW w:w="1530" w:type="dxa"/>
            <w:tcBorders>
              <w:top w:val="single" w:sz="4" w:space="0" w:color="auto"/>
              <w:left w:val="single" w:sz="4" w:space="0" w:color="auto"/>
              <w:bottom w:val="single" w:sz="12" w:space="0" w:color="auto"/>
              <w:right w:val="single" w:sz="4" w:space="0" w:color="auto"/>
            </w:tcBorders>
            <w:shd w:val="clear" w:color="auto" w:fill="auto"/>
          </w:tcPr>
          <w:p w:rsidR="004E47BA" w:rsidRPr="00845659" w:rsidRDefault="004E47BA" w:rsidP="00E111E3">
            <w:pPr>
              <w:pStyle w:val="BodyText"/>
              <w:tabs>
                <w:tab w:val="left" w:pos="360"/>
                <w:tab w:val="left" w:pos="540"/>
                <w:tab w:val="left" w:pos="630"/>
                <w:tab w:val="left" w:pos="1062"/>
              </w:tabs>
              <w:ind w:left="-108" w:right="-108"/>
              <w:jc w:val="center"/>
              <w:rPr>
                <w:b/>
                <w:sz w:val="20"/>
              </w:rPr>
            </w:pPr>
            <w:r w:rsidRPr="00845659">
              <w:rPr>
                <w:b/>
                <w:sz w:val="20"/>
              </w:rPr>
              <w:t xml:space="preserve"> 21,936</w:t>
            </w:r>
          </w:p>
        </w:tc>
        <w:tc>
          <w:tcPr>
            <w:tcW w:w="1440" w:type="dxa"/>
            <w:tcBorders>
              <w:top w:val="single" w:sz="4" w:space="0" w:color="auto"/>
              <w:left w:val="single" w:sz="4" w:space="0" w:color="auto"/>
              <w:bottom w:val="single" w:sz="12" w:space="0" w:color="auto"/>
              <w:right w:val="single" w:sz="4" w:space="0" w:color="auto"/>
            </w:tcBorders>
          </w:tcPr>
          <w:p w:rsidR="004E47BA" w:rsidRPr="001C3AE6" w:rsidRDefault="004E47BA" w:rsidP="00E111E3">
            <w:pPr>
              <w:pStyle w:val="BodyText"/>
              <w:tabs>
                <w:tab w:val="left" w:pos="360"/>
                <w:tab w:val="left" w:pos="540"/>
                <w:tab w:val="left" w:pos="630"/>
                <w:tab w:val="left" w:pos="1062"/>
              </w:tabs>
              <w:ind w:left="-108" w:right="-108"/>
              <w:rPr>
                <w:sz w:val="20"/>
              </w:rPr>
            </w:pPr>
            <w:r>
              <w:rPr>
                <w:sz w:val="20"/>
              </w:rPr>
              <w:t xml:space="preserve">   </w:t>
            </w:r>
            <w:r w:rsidRPr="001C3AE6">
              <w:rPr>
                <w:sz w:val="20"/>
              </w:rPr>
              <w:t xml:space="preserve">      </w:t>
            </w:r>
            <w:r>
              <w:rPr>
                <w:sz w:val="20"/>
              </w:rPr>
              <w:t>27,782</w:t>
            </w:r>
          </w:p>
        </w:tc>
      </w:tr>
    </w:tbl>
    <w:p w:rsidR="0059386B" w:rsidRDefault="0059386B" w:rsidP="00491580">
      <w:pPr>
        <w:pStyle w:val="BodyText"/>
        <w:tabs>
          <w:tab w:val="left" w:pos="540"/>
          <w:tab w:val="left" w:pos="630"/>
          <w:tab w:val="left" w:pos="990"/>
        </w:tabs>
        <w:ind w:left="1080" w:right="-450" w:hanging="1800"/>
        <w:rPr>
          <w:sz w:val="20"/>
        </w:rPr>
      </w:pPr>
    </w:p>
    <w:p w:rsidR="005B47E3" w:rsidRDefault="005B47E3" w:rsidP="005B47E3">
      <w:pPr>
        <w:pStyle w:val="BodyText"/>
        <w:tabs>
          <w:tab w:val="left" w:pos="540"/>
          <w:tab w:val="left" w:pos="630"/>
          <w:tab w:val="left" w:pos="990"/>
        </w:tabs>
        <w:ind w:left="630"/>
        <w:rPr>
          <w:sz w:val="20"/>
        </w:rPr>
      </w:pPr>
    </w:p>
    <w:p w:rsidR="00E44530" w:rsidRDefault="00E44530" w:rsidP="005B47E3">
      <w:pPr>
        <w:pStyle w:val="BodyText"/>
        <w:tabs>
          <w:tab w:val="left" w:pos="540"/>
          <w:tab w:val="left" w:pos="630"/>
          <w:tab w:val="left" w:pos="990"/>
        </w:tabs>
        <w:ind w:left="630"/>
        <w:rPr>
          <w:sz w:val="20"/>
        </w:rPr>
      </w:pPr>
    </w:p>
    <w:p w:rsidR="00E44530" w:rsidRPr="005B47E3" w:rsidRDefault="00E44530" w:rsidP="005B47E3">
      <w:pPr>
        <w:pStyle w:val="BodyText"/>
        <w:tabs>
          <w:tab w:val="left" w:pos="540"/>
          <w:tab w:val="left" w:pos="630"/>
          <w:tab w:val="left" w:pos="990"/>
        </w:tabs>
        <w:ind w:left="630"/>
        <w:rPr>
          <w:sz w:val="20"/>
        </w:rPr>
      </w:pPr>
    </w:p>
    <w:p w:rsidR="007E1095" w:rsidRDefault="007E1095" w:rsidP="00491580">
      <w:pPr>
        <w:pStyle w:val="BodyText"/>
        <w:tabs>
          <w:tab w:val="left" w:pos="540"/>
          <w:tab w:val="left" w:pos="630"/>
          <w:tab w:val="left" w:pos="990"/>
        </w:tabs>
        <w:ind w:left="1080" w:right="-450" w:hanging="1800"/>
        <w:rPr>
          <w:sz w:val="20"/>
        </w:rPr>
      </w:pPr>
    </w:p>
    <w:p w:rsidR="0059386B" w:rsidRPr="001B7B87" w:rsidRDefault="0059386B" w:rsidP="00491580">
      <w:pPr>
        <w:pStyle w:val="BodyText"/>
        <w:tabs>
          <w:tab w:val="left" w:pos="540"/>
          <w:tab w:val="left" w:pos="630"/>
          <w:tab w:val="left" w:pos="990"/>
        </w:tabs>
        <w:ind w:right="-450" w:hanging="1800"/>
        <w:rPr>
          <w:sz w:val="20"/>
        </w:rPr>
      </w:pPr>
      <w:r w:rsidRPr="001B7B87">
        <w:rPr>
          <w:sz w:val="20"/>
        </w:rPr>
        <w:tab/>
      </w:r>
      <w:r w:rsidRPr="001B7B87">
        <w:rPr>
          <w:sz w:val="20"/>
        </w:rPr>
        <w:tab/>
      </w:r>
      <w:r w:rsidRPr="001B7B87">
        <w:rPr>
          <w:sz w:val="20"/>
        </w:rPr>
        <w:tab/>
        <w:t xml:space="preserve">By Order Of </w:t>
      </w:r>
      <w:proofErr w:type="gramStart"/>
      <w:r w:rsidRPr="001B7B87">
        <w:rPr>
          <w:sz w:val="20"/>
        </w:rPr>
        <w:t>The</w:t>
      </w:r>
      <w:proofErr w:type="gramEnd"/>
      <w:r w:rsidRPr="001B7B87">
        <w:rPr>
          <w:sz w:val="20"/>
        </w:rPr>
        <w:t xml:space="preserve"> Board</w:t>
      </w:r>
    </w:p>
    <w:p w:rsidR="0059386B" w:rsidRDefault="0059386B" w:rsidP="00491580">
      <w:pPr>
        <w:pStyle w:val="BodyText"/>
        <w:tabs>
          <w:tab w:val="left" w:pos="540"/>
          <w:tab w:val="left" w:pos="630"/>
          <w:tab w:val="left" w:pos="990"/>
        </w:tabs>
        <w:ind w:right="-450" w:hanging="1800"/>
        <w:rPr>
          <w:b/>
          <w:sz w:val="20"/>
        </w:rPr>
      </w:pPr>
      <w:r w:rsidRPr="001B7B87">
        <w:rPr>
          <w:sz w:val="20"/>
        </w:rPr>
        <w:tab/>
      </w:r>
      <w:r w:rsidRPr="001B7B87">
        <w:rPr>
          <w:sz w:val="20"/>
        </w:rPr>
        <w:tab/>
      </w:r>
      <w:r w:rsidRPr="001B7B87">
        <w:rPr>
          <w:sz w:val="20"/>
        </w:rPr>
        <w:tab/>
      </w:r>
      <w:r w:rsidRPr="001B7B87">
        <w:rPr>
          <w:b/>
          <w:sz w:val="20"/>
        </w:rPr>
        <w:t>MBf HOLDINGS BERHAD</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4C28D6" w:rsidRDefault="004C28D6" w:rsidP="00491580">
      <w:pPr>
        <w:pStyle w:val="BodyText"/>
        <w:tabs>
          <w:tab w:val="left" w:pos="540"/>
          <w:tab w:val="left" w:pos="630"/>
          <w:tab w:val="left" w:pos="990"/>
        </w:tabs>
        <w:ind w:right="-450" w:hanging="1800"/>
        <w:rPr>
          <w:b/>
          <w:sz w:val="20"/>
        </w:rPr>
      </w:pPr>
    </w:p>
    <w:p w:rsidR="00341A0B" w:rsidRDefault="0059386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r>
      <w:smartTag w:uri="urn:schemas-microsoft-com:office:smarttags" w:element="PersonName">
        <w:r>
          <w:rPr>
            <w:b/>
            <w:sz w:val="20"/>
          </w:rPr>
          <w:t>Chong Siew Hoong</w:t>
        </w:r>
      </w:smartTag>
      <w:r w:rsidR="00221E21">
        <w:rPr>
          <w:b/>
          <w:sz w:val="20"/>
        </w:rPr>
        <w:t xml:space="preserve"> (MIA 5062)</w:t>
      </w:r>
    </w:p>
    <w:p w:rsidR="0059386B" w:rsidRDefault="008474D9" w:rsidP="00491580">
      <w:pPr>
        <w:pStyle w:val="BodyText"/>
        <w:tabs>
          <w:tab w:val="left" w:pos="540"/>
          <w:tab w:val="left" w:pos="630"/>
          <w:tab w:val="left" w:pos="990"/>
        </w:tabs>
        <w:ind w:right="-450" w:hanging="1800"/>
        <w:rPr>
          <w:b/>
          <w:sz w:val="20"/>
        </w:rPr>
      </w:pPr>
      <w:r>
        <w:rPr>
          <w:b/>
          <w:sz w:val="20"/>
        </w:rPr>
        <w:t xml:space="preserve">                   </w:t>
      </w:r>
      <w:r w:rsidR="006B5E5F">
        <w:rPr>
          <w:b/>
          <w:sz w:val="20"/>
        </w:rPr>
        <w:tab/>
      </w:r>
      <w:r w:rsidR="006B5E5F">
        <w:rPr>
          <w:b/>
          <w:sz w:val="20"/>
        </w:rPr>
        <w:tab/>
      </w:r>
      <w:r w:rsidR="006B5E5F">
        <w:rPr>
          <w:b/>
          <w:sz w:val="20"/>
        </w:rPr>
        <w:tab/>
      </w:r>
      <w:smartTag w:uri="urn:schemas-microsoft-com:office:smarttags" w:element="PersonName">
        <w:r w:rsidR="00341A0B">
          <w:rPr>
            <w:b/>
            <w:sz w:val="20"/>
          </w:rPr>
          <w:t>Ong Hua Meng</w:t>
        </w:r>
      </w:smartTag>
      <w:r w:rsidR="0059386B">
        <w:rPr>
          <w:b/>
          <w:sz w:val="20"/>
        </w:rPr>
        <w:t xml:space="preserve"> </w:t>
      </w:r>
      <w:r w:rsidR="00221E21">
        <w:rPr>
          <w:b/>
          <w:sz w:val="20"/>
        </w:rPr>
        <w:t>(</w:t>
      </w:r>
      <w:r w:rsidR="00EB4E91">
        <w:rPr>
          <w:b/>
          <w:sz w:val="20"/>
        </w:rPr>
        <w:t>MIA 6346)</w:t>
      </w:r>
    </w:p>
    <w:p w:rsidR="0059386B" w:rsidRDefault="00341A0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t>Company Secretaries</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sz w:val="20"/>
        </w:rPr>
      </w:pPr>
      <w:r>
        <w:rPr>
          <w:b/>
          <w:sz w:val="20"/>
        </w:rPr>
        <w:tab/>
      </w:r>
      <w:r>
        <w:rPr>
          <w:b/>
          <w:sz w:val="20"/>
        </w:rPr>
        <w:tab/>
      </w:r>
      <w:r>
        <w:rPr>
          <w:b/>
          <w:sz w:val="20"/>
        </w:rPr>
        <w:tab/>
      </w:r>
      <w:proofErr w:type="gramStart"/>
      <w:r>
        <w:rPr>
          <w:b/>
          <w:sz w:val="20"/>
        </w:rPr>
        <w:t>Date :</w:t>
      </w:r>
      <w:proofErr w:type="gramEnd"/>
      <w:r>
        <w:rPr>
          <w:b/>
          <w:sz w:val="20"/>
        </w:rPr>
        <w:t xml:space="preserve"> </w:t>
      </w:r>
      <w:r w:rsidR="003310C8">
        <w:rPr>
          <w:b/>
          <w:sz w:val="20"/>
        </w:rPr>
        <w:t>29 August 2012</w:t>
      </w:r>
    </w:p>
    <w:sectPr w:rsidR="0059386B" w:rsidSect="006A698B">
      <w:headerReference w:type="default" r:id="rId8"/>
      <w:footerReference w:type="even" r:id="rId9"/>
      <w:footerReference w:type="default" r:id="rId10"/>
      <w:pgSz w:w="12240" w:h="15840" w:code="1"/>
      <w:pgMar w:top="1440" w:right="1440" w:bottom="1354" w:left="1440" w:header="720" w:footer="720"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06" w:rsidRDefault="00F25806">
      <w:r>
        <w:separator/>
      </w:r>
    </w:p>
  </w:endnote>
  <w:endnote w:type="continuationSeparator" w:id="0">
    <w:p w:rsidR="00F25806" w:rsidRDefault="00F25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6" w:rsidRDefault="00F25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806" w:rsidRDefault="00F25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6" w:rsidRDefault="00F25806">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254798">
      <w:rPr>
        <w:rStyle w:val="PageNumber"/>
        <w:noProof/>
      </w:rPr>
      <w:t>8</w:t>
    </w:r>
    <w:r>
      <w:rPr>
        <w:rStyle w:val="PageNumber"/>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06" w:rsidRDefault="00F25806">
      <w:r>
        <w:separator/>
      </w:r>
    </w:p>
  </w:footnote>
  <w:footnote w:type="continuationSeparator" w:id="0">
    <w:p w:rsidR="00F25806" w:rsidRDefault="00F25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06" w:rsidRDefault="00F25806">
    <w:pPr>
      <w:pStyle w:val="Header"/>
      <w:jc w:val="both"/>
      <w:rPr>
        <w:b/>
      </w:rPr>
    </w:pPr>
    <w:r>
      <w:rPr>
        <w:b/>
      </w:rPr>
      <w:t>MBf HOLDINGS BERHAD   (5223-K)</w:t>
    </w:r>
    <w:r>
      <w:rPr>
        <w:b/>
      </w:rPr>
      <w:tab/>
    </w:r>
    <w:r>
      <w:rPr>
        <w:b/>
      </w:rPr>
      <w:tab/>
    </w:r>
  </w:p>
  <w:p w:rsidR="00F25806" w:rsidRDefault="00F25806">
    <w:pPr>
      <w:pStyle w:val="Header"/>
      <w:pBdr>
        <w:bottom w:val="single" w:sz="12" w:space="1" w:color="auto"/>
      </w:pBdr>
      <w:jc w:val="both"/>
      <w:rPr>
        <w:b/>
      </w:rPr>
    </w:pPr>
    <w:r>
      <w:rPr>
        <w:b/>
      </w:rPr>
      <w:t>UNAUDITED QUARTERLY REPORT FOR THE SECOND QUARTER ENDED 30 JUNE 2012</w:t>
    </w:r>
  </w:p>
  <w:p w:rsidR="00F25806" w:rsidRDefault="00F25806">
    <w:pPr>
      <w:pStyle w:val="Header"/>
      <w:pBdr>
        <w:bottom w:val="single" w:sz="12" w:space="1" w:color="auto"/>
      </w:pBdr>
      <w:rPr>
        <w:b/>
      </w:rPr>
    </w:pPr>
  </w:p>
  <w:p w:rsidR="00F25806" w:rsidRDefault="00F25806">
    <w:pPr>
      <w:pStyle w:val="Header"/>
      <w:rPr>
        <w:emboss/>
        <w:color w:val="FFFFFF"/>
        <w:sz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DC4"/>
    <w:multiLevelType w:val="hybridMultilevel"/>
    <w:tmpl w:val="F98AB6F2"/>
    <w:lvl w:ilvl="0" w:tplc="561CDE3A">
      <w:start w:val="2"/>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
    <w:nsid w:val="0C7A65E7"/>
    <w:multiLevelType w:val="hybridMultilevel"/>
    <w:tmpl w:val="22545946"/>
    <w:lvl w:ilvl="0" w:tplc="AEDE18D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12463E"/>
    <w:multiLevelType w:val="hybridMultilevel"/>
    <w:tmpl w:val="064CCE04"/>
    <w:lvl w:ilvl="0" w:tplc="92FA18F8">
      <w:start w:val="1"/>
      <w:numFmt w:val="bullet"/>
      <w:lvlText w:val="-"/>
      <w:lvlJc w:val="left"/>
      <w:pPr>
        <w:ind w:left="702" w:hanging="360"/>
      </w:pPr>
      <w:rPr>
        <w:rFon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1013492E"/>
    <w:multiLevelType w:val="hybridMultilevel"/>
    <w:tmpl w:val="C9D0CE30"/>
    <w:lvl w:ilvl="0" w:tplc="37F4E1D2">
      <w:start w:val="1"/>
      <w:numFmt w:val="lowerLetter"/>
      <w:lvlText w:val="%1)"/>
      <w:lvlJc w:val="left"/>
      <w:pPr>
        <w:ind w:left="1080" w:hanging="360"/>
      </w:pPr>
      <w:rPr>
        <w:rFonts w:hint="default"/>
        <w:b/>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13C71"/>
    <w:multiLevelType w:val="hybridMultilevel"/>
    <w:tmpl w:val="4FC80D3C"/>
    <w:lvl w:ilvl="0" w:tplc="37F4E1D2">
      <w:start w:val="1"/>
      <w:numFmt w:val="lowerLetter"/>
      <w:lvlText w:val="%1)"/>
      <w:lvlJc w:val="left"/>
      <w:pPr>
        <w:ind w:left="1080" w:hanging="360"/>
      </w:pPr>
      <w:rPr>
        <w:rFonts w:hint="default"/>
        <w:b/>
        <w:i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609A9"/>
    <w:multiLevelType w:val="singleLevel"/>
    <w:tmpl w:val="85D82BB8"/>
    <w:lvl w:ilvl="0">
      <w:start w:val="1"/>
      <w:numFmt w:val="lowerLetter"/>
      <w:lvlText w:val="(%1)"/>
      <w:lvlJc w:val="left"/>
      <w:pPr>
        <w:tabs>
          <w:tab w:val="num" w:pos="360"/>
        </w:tabs>
        <w:ind w:left="360" w:hanging="360"/>
      </w:pPr>
      <w:rPr>
        <w:b/>
        <w:i w:val="0"/>
      </w:rPr>
    </w:lvl>
  </w:abstractNum>
  <w:abstractNum w:abstractNumId="6">
    <w:nsid w:val="18064323"/>
    <w:multiLevelType w:val="hybridMultilevel"/>
    <w:tmpl w:val="B8F4E38E"/>
    <w:lvl w:ilvl="0" w:tplc="5F744BCC">
      <w:start w:val="7"/>
      <w:numFmt w:val="lowerLetter"/>
      <w:lvlText w:val="%1)"/>
      <w:lvlJc w:val="left"/>
      <w:pPr>
        <w:ind w:left="108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13432"/>
    <w:multiLevelType w:val="hybridMultilevel"/>
    <w:tmpl w:val="D696C104"/>
    <w:lvl w:ilvl="0" w:tplc="37F4E1D2">
      <w:start w:val="1"/>
      <w:numFmt w:val="lowerLetter"/>
      <w:lvlText w:val="%1)"/>
      <w:lvlJc w:val="left"/>
      <w:pPr>
        <w:ind w:left="1080" w:hanging="360"/>
      </w:pPr>
      <w:rPr>
        <w:rFonts w:hint="default"/>
        <w:b/>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E64348"/>
    <w:multiLevelType w:val="hybridMultilevel"/>
    <w:tmpl w:val="14600062"/>
    <w:lvl w:ilvl="0" w:tplc="0100C786">
      <w:start w:val="1"/>
      <w:numFmt w:val="lowerLetter"/>
      <w:lvlText w:val="%1)"/>
      <w:lvlJc w:val="left"/>
      <w:pPr>
        <w:ind w:left="1080" w:hanging="360"/>
      </w:pPr>
      <w:rPr>
        <w:rFonts w:hint="default"/>
        <w:b/>
        <w:i w:val="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D83DE7"/>
    <w:multiLevelType w:val="hybridMultilevel"/>
    <w:tmpl w:val="614E7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AC235C"/>
    <w:multiLevelType w:val="hybridMultilevel"/>
    <w:tmpl w:val="FFB21C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726842"/>
    <w:multiLevelType w:val="hybridMultilevel"/>
    <w:tmpl w:val="D472C2EC"/>
    <w:lvl w:ilvl="0" w:tplc="E85219E2">
      <w:start w:val="7"/>
      <w:numFmt w:val="lowerLetter"/>
      <w:lvlText w:val="%1)"/>
      <w:lvlJc w:val="left"/>
      <w:pPr>
        <w:ind w:left="108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E580C"/>
    <w:multiLevelType w:val="hybridMultilevel"/>
    <w:tmpl w:val="23FAB8CE"/>
    <w:lvl w:ilvl="0" w:tplc="78C0E8C4">
      <w:start w:val="5"/>
      <w:numFmt w:val="lowerLetter"/>
      <w:lvlText w:val="%1)"/>
      <w:lvlJc w:val="left"/>
      <w:pPr>
        <w:ind w:left="108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6738C"/>
    <w:multiLevelType w:val="hybridMultilevel"/>
    <w:tmpl w:val="B9D6D00A"/>
    <w:lvl w:ilvl="0" w:tplc="04090001">
      <w:start w:val="1"/>
      <w:numFmt w:val="bullet"/>
      <w:lvlText w:val=""/>
      <w:lvlJc w:val="left"/>
      <w:pPr>
        <w:ind w:left="13680" w:hanging="360"/>
      </w:pPr>
      <w:rPr>
        <w:rFonts w:ascii="Symbol" w:hAnsi="Symbol" w:hint="default"/>
      </w:rPr>
    </w:lvl>
    <w:lvl w:ilvl="1" w:tplc="04090003" w:tentative="1">
      <w:start w:val="1"/>
      <w:numFmt w:val="bullet"/>
      <w:lvlText w:val="o"/>
      <w:lvlJc w:val="left"/>
      <w:pPr>
        <w:ind w:left="14400" w:hanging="360"/>
      </w:pPr>
      <w:rPr>
        <w:rFonts w:ascii="Courier New" w:hAnsi="Courier New" w:cs="Courier New" w:hint="default"/>
      </w:rPr>
    </w:lvl>
    <w:lvl w:ilvl="2" w:tplc="04090005" w:tentative="1">
      <w:start w:val="1"/>
      <w:numFmt w:val="bullet"/>
      <w:lvlText w:val=""/>
      <w:lvlJc w:val="left"/>
      <w:pPr>
        <w:ind w:left="15120" w:hanging="360"/>
      </w:pPr>
      <w:rPr>
        <w:rFonts w:ascii="Wingdings" w:hAnsi="Wingdings" w:hint="default"/>
      </w:rPr>
    </w:lvl>
    <w:lvl w:ilvl="3" w:tplc="04090001" w:tentative="1">
      <w:start w:val="1"/>
      <w:numFmt w:val="bullet"/>
      <w:lvlText w:val=""/>
      <w:lvlJc w:val="left"/>
      <w:pPr>
        <w:ind w:left="15840" w:hanging="360"/>
      </w:pPr>
      <w:rPr>
        <w:rFonts w:ascii="Symbol" w:hAnsi="Symbol" w:hint="default"/>
      </w:rPr>
    </w:lvl>
    <w:lvl w:ilvl="4" w:tplc="04090003" w:tentative="1">
      <w:start w:val="1"/>
      <w:numFmt w:val="bullet"/>
      <w:lvlText w:val="o"/>
      <w:lvlJc w:val="left"/>
      <w:pPr>
        <w:ind w:left="16560" w:hanging="360"/>
      </w:pPr>
      <w:rPr>
        <w:rFonts w:ascii="Courier New" w:hAnsi="Courier New" w:cs="Courier New" w:hint="default"/>
      </w:rPr>
    </w:lvl>
    <w:lvl w:ilvl="5" w:tplc="04090005" w:tentative="1">
      <w:start w:val="1"/>
      <w:numFmt w:val="bullet"/>
      <w:lvlText w:val=""/>
      <w:lvlJc w:val="left"/>
      <w:pPr>
        <w:ind w:left="17280" w:hanging="360"/>
      </w:pPr>
      <w:rPr>
        <w:rFonts w:ascii="Wingdings" w:hAnsi="Wingdings" w:hint="default"/>
      </w:rPr>
    </w:lvl>
    <w:lvl w:ilvl="6" w:tplc="04090001" w:tentative="1">
      <w:start w:val="1"/>
      <w:numFmt w:val="bullet"/>
      <w:lvlText w:val=""/>
      <w:lvlJc w:val="left"/>
      <w:pPr>
        <w:ind w:left="18000" w:hanging="360"/>
      </w:pPr>
      <w:rPr>
        <w:rFonts w:ascii="Symbol" w:hAnsi="Symbol" w:hint="default"/>
      </w:rPr>
    </w:lvl>
    <w:lvl w:ilvl="7" w:tplc="04090003" w:tentative="1">
      <w:start w:val="1"/>
      <w:numFmt w:val="bullet"/>
      <w:lvlText w:val="o"/>
      <w:lvlJc w:val="left"/>
      <w:pPr>
        <w:ind w:left="18720" w:hanging="360"/>
      </w:pPr>
      <w:rPr>
        <w:rFonts w:ascii="Courier New" w:hAnsi="Courier New" w:cs="Courier New" w:hint="default"/>
      </w:rPr>
    </w:lvl>
    <w:lvl w:ilvl="8" w:tplc="04090005" w:tentative="1">
      <w:start w:val="1"/>
      <w:numFmt w:val="bullet"/>
      <w:lvlText w:val=""/>
      <w:lvlJc w:val="left"/>
      <w:pPr>
        <w:ind w:left="19440" w:hanging="360"/>
      </w:pPr>
      <w:rPr>
        <w:rFonts w:ascii="Wingdings" w:hAnsi="Wingdings" w:hint="default"/>
      </w:rPr>
    </w:lvl>
  </w:abstractNum>
  <w:abstractNum w:abstractNumId="14">
    <w:nsid w:val="38E576F9"/>
    <w:multiLevelType w:val="hybridMultilevel"/>
    <w:tmpl w:val="ADC04BF0"/>
    <w:lvl w:ilvl="0" w:tplc="6616C03C">
      <w:start w:val="7"/>
      <w:numFmt w:val="lowerLetter"/>
      <w:lvlText w:val="%1)"/>
      <w:lvlJc w:val="left"/>
      <w:pPr>
        <w:ind w:left="108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57474"/>
    <w:multiLevelType w:val="hybridMultilevel"/>
    <w:tmpl w:val="2CF2B8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98554A"/>
    <w:multiLevelType w:val="hybridMultilevel"/>
    <w:tmpl w:val="827E86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AA119D"/>
    <w:multiLevelType w:val="hybridMultilevel"/>
    <w:tmpl w:val="D25E0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9A1C91"/>
    <w:multiLevelType w:val="hybridMultilevel"/>
    <w:tmpl w:val="4FD87518"/>
    <w:lvl w:ilvl="0" w:tplc="4C3CF7DE">
      <w:start w:val="6"/>
      <w:numFmt w:val="lowerLetter"/>
      <w:lvlText w:val="%1)"/>
      <w:lvlJc w:val="left"/>
      <w:pPr>
        <w:ind w:left="108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15DDA"/>
    <w:multiLevelType w:val="singleLevel"/>
    <w:tmpl w:val="8910BEB2"/>
    <w:lvl w:ilvl="0">
      <w:start w:val="1"/>
      <w:numFmt w:val="lowerLetter"/>
      <w:lvlText w:val="(%1)"/>
      <w:lvlJc w:val="left"/>
      <w:pPr>
        <w:tabs>
          <w:tab w:val="num" w:pos="1080"/>
        </w:tabs>
        <w:ind w:left="1080" w:hanging="360"/>
      </w:pPr>
      <w:rPr>
        <w:rFonts w:hint="default"/>
      </w:rPr>
    </w:lvl>
  </w:abstractNum>
  <w:abstractNum w:abstractNumId="20">
    <w:nsid w:val="52B53543"/>
    <w:multiLevelType w:val="hybridMultilevel"/>
    <w:tmpl w:val="0B6A6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D07F6A"/>
    <w:multiLevelType w:val="singleLevel"/>
    <w:tmpl w:val="92FA18F8"/>
    <w:lvl w:ilvl="0">
      <w:start w:val="1"/>
      <w:numFmt w:val="bullet"/>
      <w:lvlText w:val="-"/>
      <w:lvlJc w:val="left"/>
      <w:pPr>
        <w:tabs>
          <w:tab w:val="num" w:pos="405"/>
        </w:tabs>
        <w:ind w:left="405" w:hanging="360"/>
      </w:pPr>
      <w:rPr>
        <w:rFonts w:hint="default"/>
      </w:rPr>
    </w:lvl>
  </w:abstractNum>
  <w:abstractNum w:abstractNumId="22">
    <w:nsid w:val="581850CB"/>
    <w:multiLevelType w:val="hybridMultilevel"/>
    <w:tmpl w:val="7A626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380C8F"/>
    <w:multiLevelType w:val="hybridMultilevel"/>
    <w:tmpl w:val="9A7E43CA"/>
    <w:lvl w:ilvl="0" w:tplc="835E5754">
      <w:start w:val="1"/>
      <w:numFmt w:val="upperRoman"/>
      <w:lvlText w:val="(%1)"/>
      <w:lvlJc w:val="left"/>
      <w:pPr>
        <w:ind w:left="2784" w:hanging="72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24">
    <w:nsid w:val="72D11502"/>
    <w:multiLevelType w:val="hybridMultilevel"/>
    <w:tmpl w:val="46F47DA2"/>
    <w:lvl w:ilvl="0" w:tplc="37F4E1D2">
      <w:start w:val="1"/>
      <w:numFmt w:val="lowerLetter"/>
      <w:lvlText w:val="%1)"/>
      <w:lvlJc w:val="left"/>
      <w:pPr>
        <w:ind w:left="108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24DD1"/>
    <w:multiLevelType w:val="hybridMultilevel"/>
    <w:tmpl w:val="460489A6"/>
    <w:lvl w:ilvl="0" w:tplc="06F2BBBE">
      <w:start w:val="7"/>
      <w:numFmt w:val="lowerLetter"/>
      <w:lvlText w:val="%1)"/>
      <w:lvlJc w:val="left"/>
      <w:pPr>
        <w:ind w:left="108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4117C"/>
    <w:multiLevelType w:val="hybridMultilevel"/>
    <w:tmpl w:val="3C0E57F6"/>
    <w:lvl w:ilvl="0" w:tplc="BE80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25019"/>
    <w:multiLevelType w:val="hybridMultilevel"/>
    <w:tmpl w:val="FC2A9F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7B5AB1"/>
    <w:multiLevelType w:val="hybridMultilevel"/>
    <w:tmpl w:val="6A1AED30"/>
    <w:lvl w:ilvl="0" w:tplc="D1227B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9"/>
  </w:num>
  <w:num w:numId="3">
    <w:abstractNumId w:val="21"/>
  </w:num>
  <w:num w:numId="4">
    <w:abstractNumId w:val="3"/>
  </w:num>
  <w:num w:numId="5">
    <w:abstractNumId w:val="26"/>
  </w:num>
  <w:num w:numId="6">
    <w:abstractNumId w:val="16"/>
  </w:num>
  <w:num w:numId="7">
    <w:abstractNumId w:val="10"/>
  </w:num>
  <w:num w:numId="8">
    <w:abstractNumId w:val="13"/>
  </w:num>
  <w:num w:numId="9">
    <w:abstractNumId w:val="20"/>
  </w:num>
  <w:num w:numId="10">
    <w:abstractNumId w:val="8"/>
  </w:num>
  <w:num w:numId="11">
    <w:abstractNumId w:val="2"/>
  </w:num>
  <w:num w:numId="12">
    <w:abstractNumId w:val="0"/>
  </w:num>
  <w:num w:numId="13">
    <w:abstractNumId w:val="2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4"/>
  </w:num>
  <w:num w:numId="18">
    <w:abstractNumId w:val="22"/>
  </w:num>
  <w:num w:numId="19">
    <w:abstractNumId w:val="24"/>
  </w:num>
  <w:num w:numId="20">
    <w:abstractNumId w:val="12"/>
  </w:num>
  <w:num w:numId="21">
    <w:abstractNumId w:val="18"/>
  </w:num>
  <w:num w:numId="22">
    <w:abstractNumId w:val="11"/>
  </w:num>
  <w:num w:numId="23">
    <w:abstractNumId w:val="25"/>
  </w:num>
  <w:num w:numId="24">
    <w:abstractNumId w:val="6"/>
  </w:num>
  <w:num w:numId="25">
    <w:abstractNumId w:val="14"/>
  </w:num>
  <w:num w:numId="26">
    <w:abstractNumId w:val="23"/>
  </w:num>
  <w:num w:numId="27">
    <w:abstractNumId w:val="9"/>
  </w:num>
  <w:num w:numId="28">
    <w:abstractNumId w:val="27"/>
  </w:num>
  <w:num w:numId="29">
    <w:abstractNumId w:val="17"/>
  </w:num>
  <w:num w:numId="3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9B465D"/>
    <w:rsid w:val="0000256A"/>
    <w:rsid w:val="00003323"/>
    <w:rsid w:val="000039DE"/>
    <w:rsid w:val="00004808"/>
    <w:rsid w:val="000055A6"/>
    <w:rsid w:val="00007240"/>
    <w:rsid w:val="000074DA"/>
    <w:rsid w:val="000079B6"/>
    <w:rsid w:val="00007E14"/>
    <w:rsid w:val="00010D7A"/>
    <w:rsid w:val="000117E3"/>
    <w:rsid w:val="00012380"/>
    <w:rsid w:val="00012A0D"/>
    <w:rsid w:val="00012CAD"/>
    <w:rsid w:val="0001318B"/>
    <w:rsid w:val="00013DC4"/>
    <w:rsid w:val="00013F4C"/>
    <w:rsid w:val="00014BB1"/>
    <w:rsid w:val="00015537"/>
    <w:rsid w:val="0001636A"/>
    <w:rsid w:val="00016FDF"/>
    <w:rsid w:val="00020242"/>
    <w:rsid w:val="00020404"/>
    <w:rsid w:val="0002062F"/>
    <w:rsid w:val="00020C9D"/>
    <w:rsid w:val="000220E4"/>
    <w:rsid w:val="00022330"/>
    <w:rsid w:val="00022382"/>
    <w:rsid w:val="00022613"/>
    <w:rsid w:val="00022C05"/>
    <w:rsid w:val="0002454C"/>
    <w:rsid w:val="000246F6"/>
    <w:rsid w:val="000247E8"/>
    <w:rsid w:val="00025813"/>
    <w:rsid w:val="00026039"/>
    <w:rsid w:val="00026849"/>
    <w:rsid w:val="00026D5A"/>
    <w:rsid w:val="0003082C"/>
    <w:rsid w:val="00031205"/>
    <w:rsid w:val="00031D39"/>
    <w:rsid w:val="00033681"/>
    <w:rsid w:val="000358C2"/>
    <w:rsid w:val="00035EBE"/>
    <w:rsid w:val="0003680D"/>
    <w:rsid w:val="0003684C"/>
    <w:rsid w:val="000373EB"/>
    <w:rsid w:val="00037E75"/>
    <w:rsid w:val="0004295B"/>
    <w:rsid w:val="00042D7A"/>
    <w:rsid w:val="000445B0"/>
    <w:rsid w:val="00045850"/>
    <w:rsid w:val="00045DD5"/>
    <w:rsid w:val="000475B4"/>
    <w:rsid w:val="0005011F"/>
    <w:rsid w:val="000509F2"/>
    <w:rsid w:val="00050A08"/>
    <w:rsid w:val="00051AE2"/>
    <w:rsid w:val="00052349"/>
    <w:rsid w:val="00052467"/>
    <w:rsid w:val="00052600"/>
    <w:rsid w:val="00053B89"/>
    <w:rsid w:val="00054682"/>
    <w:rsid w:val="000549B7"/>
    <w:rsid w:val="0005522C"/>
    <w:rsid w:val="00055843"/>
    <w:rsid w:val="00057F4D"/>
    <w:rsid w:val="0006145D"/>
    <w:rsid w:val="00061661"/>
    <w:rsid w:val="00062B15"/>
    <w:rsid w:val="000633F3"/>
    <w:rsid w:val="00063A1C"/>
    <w:rsid w:val="00064A3E"/>
    <w:rsid w:val="00066023"/>
    <w:rsid w:val="00066125"/>
    <w:rsid w:val="0006793C"/>
    <w:rsid w:val="00070C37"/>
    <w:rsid w:val="00071CB2"/>
    <w:rsid w:val="00072A10"/>
    <w:rsid w:val="000735D6"/>
    <w:rsid w:val="000737CD"/>
    <w:rsid w:val="000745E2"/>
    <w:rsid w:val="00074696"/>
    <w:rsid w:val="00074EDA"/>
    <w:rsid w:val="00076B31"/>
    <w:rsid w:val="0007788A"/>
    <w:rsid w:val="00077957"/>
    <w:rsid w:val="0008044C"/>
    <w:rsid w:val="00080E61"/>
    <w:rsid w:val="0008176C"/>
    <w:rsid w:val="00082078"/>
    <w:rsid w:val="00082F39"/>
    <w:rsid w:val="00083841"/>
    <w:rsid w:val="00084C42"/>
    <w:rsid w:val="00084EB2"/>
    <w:rsid w:val="000872B4"/>
    <w:rsid w:val="00087378"/>
    <w:rsid w:val="000875D2"/>
    <w:rsid w:val="0009011A"/>
    <w:rsid w:val="00091FD3"/>
    <w:rsid w:val="0009406A"/>
    <w:rsid w:val="00094D69"/>
    <w:rsid w:val="00095C20"/>
    <w:rsid w:val="000973E5"/>
    <w:rsid w:val="00097903"/>
    <w:rsid w:val="00097DA2"/>
    <w:rsid w:val="000A0C3B"/>
    <w:rsid w:val="000A12BB"/>
    <w:rsid w:val="000A148D"/>
    <w:rsid w:val="000A1D5A"/>
    <w:rsid w:val="000A3879"/>
    <w:rsid w:val="000A563A"/>
    <w:rsid w:val="000A5680"/>
    <w:rsid w:val="000A5A46"/>
    <w:rsid w:val="000A61F8"/>
    <w:rsid w:val="000A6B43"/>
    <w:rsid w:val="000A6EE3"/>
    <w:rsid w:val="000A7401"/>
    <w:rsid w:val="000B118C"/>
    <w:rsid w:val="000B1801"/>
    <w:rsid w:val="000B299C"/>
    <w:rsid w:val="000B2A76"/>
    <w:rsid w:val="000B3FAE"/>
    <w:rsid w:val="000B48E7"/>
    <w:rsid w:val="000B4E2D"/>
    <w:rsid w:val="000B66EC"/>
    <w:rsid w:val="000B72AB"/>
    <w:rsid w:val="000B7E45"/>
    <w:rsid w:val="000C0291"/>
    <w:rsid w:val="000C0D22"/>
    <w:rsid w:val="000C20E9"/>
    <w:rsid w:val="000C2434"/>
    <w:rsid w:val="000C27E7"/>
    <w:rsid w:val="000C3797"/>
    <w:rsid w:val="000C6C32"/>
    <w:rsid w:val="000C791F"/>
    <w:rsid w:val="000C7921"/>
    <w:rsid w:val="000D0567"/>
    <w:rsid w:val="000D14C2"/>
    <w:rsid w:val="000D26FA"/>
    <w:rsid w:val="000D4748"/>
    <w:rsid w:val="000D50B4"/>
    <w:rsid w:val="000D55B2"/>
    <w:rsid w:val="000D5604"/>
    <w:rsid w:val="000D5762"/>
    <w:rsid w:val="000D6981"/>
    <w:rsid w:val="000D6BE1"/>
    <w:rsid w:val="000D75A8"/>
    <w:rsid w:val="000D7871"/>
    <w:rsid w:val="000D7D43"/>
    <w:rsid w:val="000E1A55"/>
    <w:rsid w:val="000E1F24"/>
    <w:rsid w:val="000E28CC"/>
    <w:rsid w:val="000E29DC"/>
    <w:rsid w:val="000E2F43"/>
    <w:rsid w:val="000E30AC"/>
    <w:rsid w:val="000E41E6"/>
    <w:rsid w:val="000E4BE3"/>
    <w:rsid w:val="000E4DB2"/>
    <w:rsid w:val="000E5845"/>
    <w:rsid w:val="000E5D0D"/>
    <w:rsid w:val="000E71A6"/>
    <w:rsid w:val="000E7528"/>
    <w:rsid w:val="000E7D05"/>
    <w:rsid w:val="000F0FA9"/>
    <w:rsid w:val="000F1553"/>
    <w:rsid w:val="000F1976"/>
    <w:rsid w:val="000F25C0"/>
    <w:rsid w:val="000F2A59"/>
    <w:rsid w:val="000F455C"/>
    <w:rsid w:val="000F4593"/>
    <w:rsid w:val="000F49D5"/>
    <w:rsid w:val="000F5F5C"/>
    <w:rsid w:val="000F64CD"/>
    <w:rsid w:val="000F6FB2"/>
    <w:rsid w:val="000F7F79"/>
    <w:rsid w:val="00100A17"/>
    <w:rsid w:val="00101086"/>
    <w:rsid w:val="00102056"/>
    <w:rsid w:val="00104190"/>
    <w:rsid w:val="0010433A"/>
    <w:rsid w:val="00105709"/>
    <w:rsid w:val="001059F1"/>
    <w:rsid w:val="00105B72"/>
    <w:rsid w:val="00105D9C"/>
    <w:rsid w:val="001065C7"/>
    <w:rsid w:val="001066F2"/>
    <w:rsid w:val="00106D75"/>
    <w:rsid w:val="00107175"/>
    <w:rsid w:val="00107231"/>
    <w:rsid w:val="001079BE"/>
    <w:rsid w:val="00107B2F"/>
    <w:rsid w:val="001112D7"/>
    <w:rsid w:val="00112E2F"/>
    <w:rsid w:val="00114BF6"/>
    <w:rsid w:val="00114F2B"/>
    <w:rsid w:val="0011511C"/>
    <w:rsid w:val="00115E60"/>
    <w:rsid w:val="0011753A"/>
    <w:rsid w:val="001203CB"/>
    <w:rsid w:val="001206AD"/>
    <w:rsid w:val="0012091F"/>
    <w:rsid w:val="00120B65"/>
    <w:rsid w:val="001244C6"/>
    <w:rsid w:val="00124E16"/>
    <w:rsid w:val="00126546"/>
    <w:rsid w:val="00130D17"/>
    <w:rsid w:val="00132138"/>
    <w:rsid w:val="0013326D"/>
    <w:rsid w:val="001333A8"/>
    <w:rsid w:val="0013468C"/>
    <w:rsid w:val="00134DCA"/>
    <w:rsid w:val="00134F77"/>
    <w:rsid w:val="001350C7"/>
    <w:rsid w:val="00135A2F"/>
    <w:rsid w:val="00137A5B"/>
    <w:rsid w:val="00137E21"/>
    <w:rsid w:val="00140017"/>
    <w:rsid w:val="001403F3"/>
    <w:rsid w:val="00140564"/>
    <w:rsid w:val="00140BC5"/>
    <w:rsid w:val="00140CCB"/>
    <w:rsid w:val="0014209D"/>
    <w:rsid w:val="0014218F"/>
    <w:rsid w:val="00144F5F"/>
    <w:rsid w:val="00145356"/>
    <w:rsid w:val="0014565C"/>
    <w:rsid w:val="0014733A"/>
    <w:rsid w:val="00147502"/>
    <w:rsid w:val="0014781D"/>
    <w:rsid w:val="00147D54"/>
    <w:rsid w:val="00150259"/>
    <w:rsid w:val="00152CB6"/>
    <w:rsid w:val="0015383A"/>
    <w:rsid w:val="001539FD"/>
    <w:rsid w:val="0015475F"/>
    <w:rsid w:val="00154B16"/>
    <w:rsid w:val="00155A9D"/>
    <w:rsid w:val="00156B45"/>
    <w:rsid w:val="00156D4C"/>
    <w:rsid w:val="00160651"/>
    <w:rsid w:val="00161700"/>
    <w:rsid w:val="00161912"/>
    <w:rsid w:val="001632B2"/>
    <w:rsid w:val="001641E6"/>
    <w:rsid w:val="00164371"/>
    <w:rsid w:val="0016582F"/>
    <w:rsid w:val="001705A8"/>
    <w:rsid w:val="0017137F"/>
    <w:rsid w:val="00171671"/>
    <w:rsid w:val="00171E47"/>
    <w:rsid w:val="00172242"/>
    <w:rsid w:val="001735B4"/>
    <w:rsid w:val="00174CF3"/>
    <w:rsid w:val="00175835"/>
    <w:rsid w:val="00175C5E"/>
    <w:rsid w:val="00176D70"/>
    <w:rsid w:val="00176F63"/>
    <w:rsid w:val="001771D8"/>
    <w:rsid w:val="00180703"/>
    <w:rsid w:val="0018075E"/>
    <w:rsid w:val="001829FD"/>
    <w:rsid w:val="00183057"/>
    <w:rsid w:val="00183AC2"/>
    <w:rsid w:val="00184090"/>
    <w:rsid w:val="0018487F"/>
    <w:rsid w:val="00184D25"/>
    <w:rsid w:val="0018703F"/>
    <w:rsid w:val="00187AC9"/>
    <w:rsid w:val="00190728"/>
    <w:rsid w:val="001908F7"/>
    <w:rsid w:val="001910BC"/>
    <w:rsid w:val="00191241"/>
    <w:rsid w:val="00191323"/>
    <w:rsid w:val="00191C53"/>
    <w:rsid w:val="00191D24"/>
    <w:rsid w:val="00192006"/>
    <w:rsid w:val="00192223"/>
    <w:rsid w:val="001940B8"/>
    <w:rsid w:val="001954F7"/>
    <w:rsid w:val="001956B2"/>
    <w:rsid w:val="00195F8B"/>
    <w:rsid w:val="0019630E"/>
    <w:rsid w:val="001973BC"/>
    <w:rsid w:val="00197501"/>
    <w:rsid w:val="00197B88"/>
    <w:rsid w:val="001A00E4"/>
    <w:rsid w:val="001A0F5F"/>
    <w:rsid w:val="001A262E"/>
    <w:rsid w:val="001A2C9B"/>
    <w:rsid w:val="001A3CB3"/>
    <w:rsid w:val="001A4185"/>
    <w:rsid w:val="001A44A7"/>
    <w:rsid w:val="001A5D58"/>
    <w:rsid w:val="001A623F"/>
    <w:rsid w:val="001A64CC"/>
    <w:rsid w:val="001A6DAD"/>
    <w:rsid w:val="001B067F"/>
    <w:rsid w:val="001B08DA"/>
    <w:rsid w:val="001B1119"/>
    <w:rsid w:val="001B13B2"/>
    <w:rsid w:val="001B1445"/>
    <w:rsid w:val="001B23FA"/>
    <w:rsid w:val="001B4B5E"/>
    <w:rsid w:val="001B5409"/>
    <w:rsid w:val="001B60BC"/>
    <w:rsid w:val="001B62AC"/>
    <w:rsid w:val="001B7018"/>
    <w:rsid w:val="001B7B87"/>
    <w:rsid w:val="001B7E6F"/>
    <w:rsid w:val="001C04B4"/>
    <w:rsid w:val="001C1B8D"/>
    <w:rsid w:val="001C1C36"/>
    <w:rsid w:val="001C3032"/>
    <w:rsid w:val="001C3AE6"/>
    <w:rsid w:val="001C3B9E"/>
    <w:rsid w:val="001C4265"/>
    <w:rsid w:val="001C4C0F"/>
    <w:rsid w:val="001C5635"/>
    <w:rsid w:val="001C60A0"/>
    <w:rsid w:val="001C693B"/>
    <w:rsid w:val="001C7688"/>
    <w:rsid w:val="001C76F3"/>
    <w:rsid w:val="001C7AB9"/>
    <w:rsid w:val="001D036D"/>
    <w:rsid w:val="001D0D06"/>
    <w:rsid w:val="001D1CAA"/>
    <w:rsid w:val="001D2F93"/>
    <w:rsid w:val="001D37F3"/>
    <w:rsid w:val="001D45A3"/>
    <w:rsid w:val="001D47F7"/>
    <w:rsid w:val="001D4BEE"/>
    <w:rsid w:val="001D4CCF"/>
    <w:rsid w:val="001D51AB"/>
    <w:rsid w:val="001D53F9"/>
    <w:rsid w:val="001D556E"/>
    <w:rsid w:val="001D5D80"/>
    <w:rsid w:val="001D6A07"/>
    <w:rsid w:val="001D6F22"/>
    <w:rsid w:val="001E1853"/>
    <w:rsid w:val="001E18FD"/>
    <w:rsid w:val="001E35B4"/>
    <w:rsid w:val="001E3632"/>
    <w:rsid w:val="001E41F9"/>
    <w:rsid w:val="001E562E"/>
    <w:rsid w:val="001E5D9A"/>
    <w:rsid w:val="001E5F92"/>
    <w:rsid w:val="001E6682"/>
    <w:rsid w:val="001E6748"/>
    <w:rsid w:val="001E7281"/>
    <w:rsid w:val="001E7B34"/>
    <w:rsid w:val="001F07F9"/>
    <w:rsid w:val="001F260A"/>
    <w:rsid w:val="001F2FE5"/>
    <w:rsid w:val="001F31CA"/>
    <w:rsid w:val="001F32D1"/>
    <w:rsid w:val="001F36D5"/>
    <w:rsid w:val="001F4168"/>
    <w:rsid w:val="001F45C1"/>
    <w:rsid w:val="001F478A"/>
    <w:rsid w:val="001F4D08"/>
    <w:rsid w:val="001F5945"/>
    <w:rsid w:val="001F5ADC"/>
    <w:rsid w:val="001F69DD"/>
    <w:rsid w:val="001F7290"/>
    <w:rsid w:val="001F7A97"/>
    <w:rsid w:val="00200672"/>
    <w:rsid w:val="00200B5D"/>
    <w:rsid w:val="0020253C"/>
    <w:rsid w:val="002037D8"/>
    <w:rsid w:val="00204A8A"/>
    <w:rsid w:val="00204B88"/>
    <w:rsid w:val="00204EA0"/>
    <w:rsid w:val="0020518C"/>
    <w:rsid w:val="0020530C"/>
    <w:rsid w:val="00205AF1"/>
    <w:rsid w:val="00205C38"/>
    <w:rsid w:val="00205D78"/>
    <w:rsid w:val="002065A4"/>
    <w:rsid w:val="0020697C"/>
    <w:rsid w:val="00206C19"/>
    <w:rsid w:val="00207002"/>
    <w:rsid w:val="002109A0"/>
    <w:rsid w:val="00210E04"/>
    <w:rsid w:val="0021213C"/>
    <w:rsid w:val="00212192"/>
    <w:rsid w:val="0021244D"/>
    <w:rsid w:val="00212905"/>
    <w:rsid w:val="00212EE0"/>
    <w:rsid w:val="002136D9"/>
    <w:rsid w:val="00214E8D"/>
    <w:rsid w:val="00214F9A"/>
    <w:rsid w:val="002150C2"/>
    <w:rsid w:val="0021556C"/>
    <w:rsid w:val="00215B11"/>
    <w:rsid w:val="00215B68"/>
    <w:rsid w:val="00216361"/>
    <w:rsid w:val="00216473"/>
    <w:rsid w:val="00216B4D"/>
    <w:rsid w:val="00216B4E"/>
    <w:rsid w:val="002200E9"/>
    <w:rsid w:val="002209FD"/>
    <w:rsid w:val="00220A73"/>
    <w:rsid w:val="00221078"/>
    <w:rsid w:val="0022157A"/>
    <w:rsid w:val="00221E21"/>
    <w:rsid w:val="00222E05"/>
    <w:rsid w:val="00222EEF"/>
    <w:rsid w:val="002232D3"/>
    <w:rsid w:val="00223D7D"/>
    <w:rsid w:val="00224461"/>
    <w:rsid w:val="00224540"/>
    <w:rsid w:val="0022476E"/>
    <w:rsid w:val="00225F20"/>
    <w:rsid w:val="00226A97"/>
    <w:rsid w:val="0022732F"/>
    <w:rsid w:val="00227441"/>
    <w:rsid w:val="00227985"/>
    <w:rsid w:val="00227A13"/>
    <w:rsid w:val="0023011C"/>
    <w:rsid w:val="00230E48"/>
    <w:rsid w:val="00231726"/>
    <w:rsid w:val="0023268C"/>
    <w:rsid w:val="00232CBF"/>
    <w:rsid w:val="0023447A"/>
    <w:rsid w:val="00236B1D"/>
    <w:rsid w:val="00240C0A"/>
    <w:rsid w:val="002425A2"/>
    <w:rsid w:val="00243312"/>
    <w:rsid w:val="00243D5F"/>
    <w:rsid w:val="00245241"/>
    <w:rsid w:val="00245E88"/>
    <w:rsid w:val="0024615D"/>
    <w:rsid w:val="00246631"/>
    <w:rsid w:val="0024689F"/>
    <w:rsid w:val="0024709B"/>
    <w:rsid w:val="0024720B"/>
    <w:rsid w:val="00247487"/>
    <w:rsid w:val="0024775A"/>
    <w:rsid w:val="002512D9"/>
    <w:rsid w:val="0025143C"/>
    <w:rsid w:val="00251F25"/>
    <w:rsid w:val="002535FC"/>
    <w:rsid w:val="00253FF1"/>
    <w:rsid w:val="002546EE"/>
    <w:rsid w:val="00254798"/>
    <w:rsid w:val="00254C81"/>
    <w:rsid w:val="00254FF7"/>
    <w:rsid w:val="00255C5F"/>
    <w:rsid w:val="0025629F"/>
    <w:rsid w:val="002564D8"/>
    <w:rsid w:val="002568D0"/>
    <w:rsid w:val="00256B14"/>
    <w:rsid w:val="00257413"/>
    <w:rsid w:val="0025792B"/>
    <w:rsid w:val="0026018E"/>
    <w:rsid w:val="00260BBF"/>
    <w:rsid w:val="00261410"/>
    <w:rsid w:val="002614C3"/>
    <w:rsid w:val="00261975"/>
    <w:rsid w:val="002628E0"/>
    <w:rsid w:val="002629F9"/>
    <w:rsid w:val="00262D1B"/>
    <w:rsid w:val="0026589B"/>
    <w:rsid w:val="00265B52"/>
    <w:rsid w:val="00265E12"/>
    <w:rsid w:val="002661E6"/>
    <w:rsid w:val="002666A6"/>
    <w:rsid w:val="002671F2"/>
    <w:rsid w:val="00270562"/>
    <w:rsid w:val="002716BC"/>
    <w:rsid w:val="00271ECF"/>
    <w:rsid w:val="002725CD"/>
    <w:rsid w:val="00272CD0"/>
    <w:rsid w:val="00272F84"/>
    <w:rsid w:val="002739D2"/>
    <w:rsid w:val="00274846"/>
    <w:rsid w:val="00274F45"/>
    <w:rsid w:val="00275039"/>
    <w:rsid w:val="00275B65"/>
    <w:rsid w:val="0027658D"/>
    <w:rsid w:val="00276675"/>
    <w:rsid w:val="00276960"/>
    <w:rsid w:val="00276E7E"/>
    <w:rsid w:val="00277109"/>
    <w:rsid w:val="002809CB"/>
    <w:rsid w:val="00281B9F"/>
    <w:rsid w:val="00281BD3"/>
    <w:rsid w:val="002832DE"/>
    <w:rsid w:val="002837BC"/>
    <w:rsid w:val="00285A3F"/>
    <w:rsid w:val="00285F9E"/>
    <w:rsid w:val="002864C7"/>
    <w:rsid w:val="00286C47"/>
    <w:rsid w:val="00286C92"/>
    <w:rsid w:val="00287487"/>
    <w:rsid w:val="00290539"/>
    <w:rsid w:val="00290FF3"/>
    <w:rsid w:val="00294687"/>
    <w:rsid w:val="00294C18"/>
    <w:rsid w:val="002952E6"/>
    <w:rsid w:val="002959BA"/>
    <w:rsid w:val="00295BC8"/>
    <w:rsid w:val="002A0307"/>
    <w:rsid w:val="002A046A"/>
    <w:rsid w:val="002A0575"/>
    <w:rsid w:val="002A05A5"/>
    <w:rsid w:val="002A1A40"/>
    <w:rsid w:val="002A22DE"/>
    <w:rsid w:val="002A28D1"/>
    <w:rsid w:val="002A4338"/>
    <w:rsid w:val="002A55F6"/>
    <w:rsid w:val="002A59AF"/>
    <w:rsid w:val="002A788D"/>
    <w:rsid w:val="002B03CE"/>
    <w:rsid w:val="002B0FBC"/>
    <w:rsid w:val="002B1DA5"/>
    <w:rsid w:val="002B1EE3"/>
    <w:rsid w:val="002B2CB4"/>
    <w:rsid w:val="002B2D98"/>
    <w:rsid w:val="002B4FCE"/>
    <w:rsid w:val="002B535B"/>
    <w:rsid w:val="002B5E33"/>
    <w:rsid w:val="002B6BFF"/>
    <w:rsid w:val="002B76EF"/>
    <w:rsid w:val="002C01D9"/>
    <w:rsid w:val="002C0BB1"/>
    <w:rsid w:val="002C3299"/>
    <w:rsid w:val="002C3DC8"/>
    <w:rsid w:val="002D0168"/>
    <w:rsid w:val="002D0DCB"/>
    <w:rsid w:val="002D1006"/>
    <w:rsid w:val="002D30F1"/>
    <w:rsid w:val="002D51AA"/>
    <w:rsid w:val="002D7571"/>
    <w:rsid w:val="002D7C3D"/>
    <w:rsid w:val="002E0140"/>
    <w:rsid w:val="002E0191"/>
    <w:rsid w:val="002E15A4"/>
    <w:rsid w:val="002E171E"/>
    <w:rsid w:val="002E1C14"/>
    <w:rsid w:val="002E247C"/>
    <w:rsid w:val="002E2A4C"/>
    <w:rsid w:val="002E2EBE"/>
    <w:rsid w:val="002E3469"/>
    <w:rsid w:val="002E42A7"/>
    <w:rsid w:val="002E55B4"/>
    <w:rsid w:val="002E580E"/>
    <w:rsid w:val="002E5AFA"/>
    <w:rsid w:val="002E5DFB"/>
    <w:rsid w:val="002E6CE4"/>
    <w:rsid w:val="002E6EFF"/>
    <w:rsid w:val="002E7841"/>
    <w:rsid w:val="002F2A3B"/>
    <w:rsid w:val="002F3D0B"/>
    <w:rsid w:val="002F4694"/>
    <w:rsid w:val="002F495E"/>
    <w:rsid w:val="002F4BFA"/>
    <w:rsid w:val="002F6510"/>
    <w:rsid w:val="002F66F3"/>
    <w:rsid w:val="002F6820"/>
    <w:rsid w:val="002F686B"/>
    <w:rsid w:val="002F6A06"/>
    <w:rsid w:val="002F7363"/>
    <w:rsid w:val="002F75A1"/>
    <w:rsid w:val="00302917"/>
    <w:rsid w:val="00302C09"/>
    <w:rsid w:val="00302F6D"/>
    <w:rsid w:val="00303AEA"/>
    <w:rsid w:val="00303F30"/>
    <w:rsid w:val="0030408A"/>
    <w:rsid w:val="0030512B"/>
    <w:rsid w:val="0030647D"/>
    <w:rsid w:val="00306F4D"/>
    <w:rsid w:val="00307FCA"/>
    <w:rsid w:val="00311B0A"/>
    <w:rsid w:val="0031223B"/>
    <w:rsid w:val="003136D7"/>
    <w:rsid w:val="00314243"/>
    <w:rsid w:val="00314456"/>
    <w:rsid w:val="00314557"/>
    <w:rsid w:val="00315187"/>
    <w:rsid w:val="0031549B"/>
    <w:rsid w:val="00315524"/>
    <w:rsid w:val="00315535"/>
    <w:rsid w:val="003173BD"/>
    <w:rsid w:val="003177C6"/>
    <w:rsid w:val="00317CF4"/>
    <w:rsid w:val="00320E5E"/>
    <w:rsid w:val="003223BF"/>
    <w:rsid w:val="003223ED"/>
    <w:rsid w:val="003241CF"/>
    <w:rsid w:val="003242FA"/>
    <w:rsid w:val="0032443E"/>
    <w:rsid w:val="00324A14"/>
    <w:rsid w:val="00325179"/>
    <w:rsid w:val="003252FF"/>
    <w:rsid w:val="00325A74"/>
    <w:rsid w:val="003263AE"/>
    <w:rsid w:val="0032685D"/>
    <w:rsid w:val="00326F10"/>
    <w:rsid w:val="00327675"/>
    <w:rsid w:val="00327AC1"/>
    <w:rsid w:val="00327C81"/>
    <w:rsid w:val="003310C8"/>
    <w:rsid w:val="00331D5F"/>
    <w:rsid w:val="003327B2"/>
    <w:rsid w:val="0033318E"/>
    <w:rsid w:val="0033405D"/>
    <w:rsid w:val="00334607"/>
    <w:rsid w:val="00334A1B"/>
    <w:rsid w:val="003355BF"/>
    <w:rsid w:val="00336A35"/>
    <w:rsid w:val="0033731A"/>
    <w:rsid w:val="003400A8"/>
    <w:rsid w:val="003403D6"/>
    <w:rsid w:val="00341A0B"/>
    <w:rsid w:val="00341B97"/>
    <w:rsid w:val="00341C4F"/>
    <w:rsid w:val="00342EC7"/>
    <w:rsid w:val="00343274"/>
    <w:rsid w:val="00343AB2"/>
    <w:rsid w:val="00343BA1"/>
    <w:rsid w:val="003443DE"/>
    <w:rsid w:val="003444D8"/>
    <w:rsid w:val="003449DE"/>
    <w:rsid w:val="00345849"/>
    <w:rsid w:val="003464F3"/>
    <w:rsid w:val="00346507"/>
    <w:rsid w:val="00346C33"/>
    <w:rsid w:val="003476F2"/>
    <w:rsid w:val="00347785"/>
    <w:rsid w:val="00347C16"/>
    <w:rsid w:val="00351956"/>
    <w:rsid w:val="00351B4A"/>
    <w:rsid w:val="00352514"/>
    <w:rsid w:val="00352BA0"/>
    <w:rsid w:val="00353A85"/>
    <w:rsid w:val="00353C47"/>
    <w:rsid w:val="00354449"/>
    <w:rsid w:val="00354D0A"/>
    <w:rsid w:val="00355181"/>
    <w:rsid w:val="003551C7"/>
    <w:rsid w:val="00355BA0"/>
    <w:rsid w:val="00355EDC"/>
    <w:rsid w:val="00356B9C"/>
    <w:rsid w:val="0035774E"/>
    <w:rsid w:val="003578B4"/>
    <w:rsid w:val="00361B9C"/>
    <w:rsid w:val="00361E6C"/>
    <w:rsid w:val="00361F69"/>
    <w:rsid w:val="00362B88"/>
    <w:rsid w:val="00363232"/>
    <w:rsid w:val="00364389"/>
    <w:rsid w:val="003649DA"/>
    <w:rsid w:val="00365046"/>
    <w:rsid w:val="00365537"/>
    <w:rsid w:val="003659BC"/>
    <w:rsid w:val="00367F55"/>
    <w:rsid w:val="00373A8F"/>
    <w:rsid w:val="00373AA7"/>
    <w:rsid w:val="00376B1F"/>
    <w:rsid w:val="00376D3D"/>
    <w:rsid w:val="0037798F"/>
    <w:rsid w:val="00377B1B"/>
    <w:rsid w:val="00381931"/>
    <w:rsid w:val="00381C7D"/>
    <w:rsid w:val="00382942"/>
    <w:rsid w:val="00382F07"/>
    <w:rsid w:val="0038329B"/>
    <w:rsid w:val="003846A6"/>
    <w:rsid w:val="00384820"/>
    <w:rsid w:val="00384F29"/>
    <w:rsid w:val="0038542F"/>
    <w:rsid w:val="00386BF2"/>
    <w:rsid w:val="00386DE2"/>
    <w:rsid w:val="00387454"/>
    <w:rsid w:val="00390C25"/>
    <w:rsid w:val="00390FB6"/>
    <w:rsid w:val="003915A6"/>
    <w:rsid w:val="0039178E"/>
    <w:rsid w:val="0039273A"/>
    <w:rsid w:val="00394F71"/>
    <w:rsid w:val="00395015"/>
    <w:rsid w:val="00396B8A"/>
    <w:rsid w:val="00396EED"/>
    <w:rsid w:val="00397D3A"/>
    <w:rsid w:val="003A0341"/>
    <w:rsid w:val="003A1C0D"/>
    <w:rsid w:val="003A1DFE"/>
    <w:rsid w:val="003A23DB"/>
    <w:rsid w:val="003A2D64"/>
    <w:rsid w:val="003A3C7B"/>
    <w:rsid w:val="003A4627"/>
    <w:rsid w:val="003A53FF"/>
    <w:rsid w:val="003A6FD8"/>
    <w:rsid w:val="003A76F2"/>
    <w:rsid w:val="003B033B"/>
    <w:rsid w:val="003B06F0"/>
    <w:rsid w:val="003B0AC1"/>
    <w:rsid w:val="003B0D9D"/>
    <w:rsid w:val="003B1CBA"/>
    <w:rsid w:val="003B1FCF"/>
    <w:rsid w:val="003B215D"/>
    <w:rsid w:val="003B248B"/>
    <w:rsid w:val="003B2930"/>
    <w:rsid w:val="003B3183"/>
    <w:rsid w:val="003B369C"/>
    <w:rsid w:val="003B4399"/>
    <w:rsid w:val="003B5A41"/>
    <w:rsid w:val="003B6181"/>
    <w:rsid w:val="003B6A72"/>
    <w:rsid w:val="003B6E34"/>
    <w:rsid w:val="003B7374"/>
    <w:rsid w:val="003C016E"/>
    <w:rsid w:val="003C0321"/>
    <w:rsid w:val="003C0E26"/>
    <w:rsid w:val="003C12C1"/>
    <w:rsid w:val="003C2906"/>
    <w:rsid w:val="003C2A3B"/>
    <w:rsid w:val="003C5922"/>
    <w:rsid w:val="003C635E"/>
    <w:rsid w:val="003C6E88"/>
    <w:rsid w:val="003D05A6"/>
    <w:rsid w:val="003D12B7"/>
    <w:rsid w:val="003D1D1A"/>
    <w:rsid w:val="003D2574"/>
    <w:rsid w:val="003D298C"/>
    <w:rsid w:val="003D2DA4"/>
    <w:rsid w:val="003D3BA7"/>
    <w:rsid w:val="003D3C63"/>
    <w:rsid w:val="003D4102"/>
    <w:rsid w:val="003D4E75"/>
    <w:rsid w:val="003D5120"/>
    <w:rsid w:val="003D5804"/>
    <w:rsid w:val="003D6291"/>
    <w:rsid w:val="003D64BD"/>
    <w:rsid w:val="003D7D73"/>
    <w:rsid w:val="003E0710"/>
    <w:rsid w:val="003E121A"/>
    <w:rsid w:val="003E2FC4"/>
    <w:rsid w:val="003E5C80"/>
    <w:rsid w:val="003E65E0"/>
    <w:rsid w:val="003E665F"/>
    <w:rsid w:val="003E7944"/>
    <w:rsid w:val="003E7E68"/>
    <w:rsid w:val="003E7F08"/>
    <w:rsid w:val="003F1869"/>
    <w:rsid w:val="003F1BD1"/>
    <w:rsid w:val="003F2B94"/>
    <w:rsid w:val="003F39BF"/>
    <w:rsid w:val="003F41AE"/>
    <w:rsid w:val="003F41FF"/>
    <w:rsid w:val="003F45A3"/>
    <w:rsid w:val="003F6065"/>
    <w:rsid w:val="003F6338"/>
    <w:rsid w:val="003F77AF"/>
    <w:rsid w:val="00400221"/>
    <w:rsid w:val="004010A0"/>
    <w:rsid w:val="004010ED"/>
    <w:rsid w:val="004017FB"/>
    <w:rsid w:val="00401CD3"/>
    <w:rsid w:val="004022A9"/>
    <w:rsid w:val="004032C7"/>
    <w:rsid w:val="004043ED"/>
    <w:rsid w:val="00404EEF"/>
    <w:rsid w:val="00404FBB"/>
    <w:rsid w:val="0040563C"/>
    <w:rsid w:val="00405C8E"/>
    <w:rsid w:val="00405DD3"/>
    <w:rsid w:val="00405DF8"/>
    <w:rsid w:val="00407D36"/>
    <w:rsid w:val="004100F2"/>
    <w:rsid w:val="0041031F"/>
    <w:rsid w:val="00410FBA"/>
    <w:rsid w:val="004116AA"/>
    <w:rsid w:val="00411DDE"/>
    <w:rsid w:val="00412D7F"/>
    <w:rsid w:val="004139AD"/>
    <w:rsid w:val="0041406B"/>
    <w:rsid w:val="004140CB"/>
    <w:rsid w:val="00414BEF"/>
    <w:rsid w:val="00414DE1"/>
    <w:rsid w:val="00414E27"/>
    <w:rsid w:val="004152A4"/>
    <w:rsid w:val="0041532A"/>
    <w:rsid w:val="004155A9"/>
    <w:rsid w:val="00415745"/>
    <w:rsid w:val="00416934"/>
    <w:rsid w:val="00417695"/>
    <w:rsid w:val="00420D23"/>
    <w:rsid w:val="00421ED1"/>
    <w:rsid w:val="004231A1"/>
    <w:rsid w:val="004231B8"/>
    <w:rsid w:val="00424864"/>
    <w:rsid w:val="004251F7"/>
    <w:rsid w:val="00430C54"/>
    <w:rsid w:val="0043259D"/>
    <w:rsid w:val="004327F3"/>
    <w:rsid w:val="00432CBF"/>
    <w:rsid w:val="00432D6E"/>
    <w:rsid w:val="00436579"/>
    <w:rsid w:val="004367E7"/>
    <w:rsid w:val="00437079"/>
    <w:rsid w:val="004374D4"/>
    <w:rsid w:val="0044013B"/>
    <w:rsid w:val="00440D34"/>
    <w:rsid w:val="004431F7"/>
    <w:rsid w:val="00444B09"/>
    <w:rsid w:val="00444DB5"/>
    <w:rsid w:val="0044667B"/>
    <w:rsid w:val="00446BAE"/>
    <w:rsid w:val="004473C6"/>
    <w:rsid w:val="0044775D"/>
    <w:rsid w:val="00447F44"/>
    <w:rsid w:val="0045083E"/>
    <w:rsid w:val="00451E22"/>
    <w:rsid w:val="00451F34"/>
    <w:rsid w:val="00452081"/>
    <w:rsid w:val="004520BB"/>
    <w:rsid w:val="0045246C"/>
    <w:rsid w:val="00453D0B"/>
    <w:rsid w:val="00453E0D"/>
    <w:rsid w:val="00454169"/>
    <w:rsid w:val="0045491B"/>
    <w:rsid w:val="00460CD7"/>
    <w:rsid w:val="00461F15"/>
    <w:rsid w:val="00462395"/>
    <w:rsid w:val="00462E37"/>
    <w:rsid w:val="00462E45"/>
    <w:rsid w:val="0046391E"/>
    <w:rsid w:val="0046447A"/>
    <w:rsid w:val="004665D1"/>
    <w:rsid w:val="00466F70"/>
    <w:rsid w:val="004672CF"/>
    <w:rsid w:val="0047275F"/>
    <w:rsid w:val="00472D7B"/>
    <w:rsid w:val="00473174"/>
    <w:rsid w:val="00473ABE"/>
    <w:rsid w:val="00473BF7"/>
    <w:rsid w:val="00473C48"/>
    <w:rsid w:val="00473ECD"/>
    <w:rsid w:val="0047438E"/>
    <w:rsid w:val="004745D2"/>
    <w:rsid w:val="0047594F"/>
    <w:rsid w:val="00475B1B"/>
    <w:rsid w:val="004773E9"/>
    <w:rsid w:val="004773F8"/>
    <w:rsid w:val="004775B4"/>
    <w:rsid w:val="004802E2"/>
    <w:rsid w:val="00480DFC"/>
    <w:rsid w:val="0048133B"/>
    <w:rsid w:val="004818C6"/>
    <w:rsid w:val="004818FC"/>
    <w:rsid w:val="0048281B"/>
    <w:rsid w:val="00482F2F"/>
    <w:rsid w:val="00485A29"/>
    <w:rsid w:val="00485EB8"/>
    <w:rsid w:val="0048604D"/>
    <w:rsid w:val="00486AD0"/>
    <w:rsid w:val="00486CF2"/>
    <w:rsid w:val="00491580"/>
    <w:rsid w:val="0049316F"/>
    <w:rsid w:val="00494B41"/>
    <w:rsid w:val="0049537E"/>
    <w:rsid w:val="00495DC2"/>
    <w:rsid w:val="00496712"/>
    <w:rsid w:val="00497042"/>
    <w:rsid w:val="004A038C"/>
    <w:rsid w:val="004A0693"/>
    <w:rsid w:val="004A070C"/>
    <w:rsid w:val="004A2B70"/>
    <w:rsid w:val="004A3126"/>
    <w:rsid w:val="004A328A"/>
    <w:rsid w:val="004A38EE"/>
    <w:rsid w:val="004A435D"/>
    <w:rsid w:val="004A4FB2"/>
    <w:rsid w:val="004A5DC7"/>
    <w:rsid w:val="004A5ECD"/>
    <w:rsid w:val="004A6DDD"/>
    <w:rsid w:val="004A6E29"/>
    <w:rsid w:val="004B01DB"/>
    <w:rsid w:val="004B03EE"/>
    <w:rsid w:val="004B0CC1"/>
    <w:rsid w:val="004B2406"/>
    <w:rsid w:val="004B3FF6"/>
    <w:rsid w:val="004B4879"/>
    <w:rsid w:val="004B4919"/>
    <w:rsid w:val="004B51F4"/>
    <w:rsid w:val="004B545A"/>
    <w:rsid w:val="004B61FB"/>
    <w:rsid w:val="004B7329"/>
    <w:rsid w:val="004B7B7B"/>
    <w:rsid w:val="004B7E5D"/>
    <w:rsid w:val="004B7EB9"/>
    <w:rsid w:val="004C0992"/>
    <w:rsid w:val="004C09AE"/>
    <w:rsid w:val="004C0E3E"/>
    <w:rsid w:val="004C145D"/>
    <w:rsid w:val="004C21FF"/>
    <w:rsid w:val="004C28D6"/>
    <w:rsid w:val="004C30C9"/>
    <w:rsid w:val="004C531E"/>
    <w:rsid w:val="004C576D"/>
    <w:rsid w:val="004C58AD"/>
    <w:rsid w:val="004C6070"/>
    <w:rsid w:val="004C60E8"/>
    <w:rsid w:val="004C6DEC"/>
    <w:rsid w:val="004C6F99"/>
    <w:rsid w:val="004C7257"/>
    <w:rsid w:val="004C7BED"/>
    <w:rsid w:val="004D1CF4"/>
    <w:rsid w:val="004D331A"/>
    <w:rsid w:val="004D47CE"/>
    <w:rsid w:val="004D4ED9"/>
    <w:rsid w:val="004D5D90"/>
    <w:rsid w:val="004D696A"/>
    <w:rsid w:val="004D6EE3"/>
    <w:rsid w:val="004D77F8"/>
    <w:rsid w:val="004D7A57"/>
    <w:rsid w:val="004D7BA6"/>
    <w:rsid w:val="004E1272"/>
    <w:rsid w:val="004E1D77"/>
    <w:rsid w:val="004E21B0"/>
    <w:rsid w:val="004E2481"/>
    <w:rsid w:val="004E25E5"/>
    <w:rsid w:val="004E2D91"/>
    <w:rsid w:val="004E2EC9"/>
    <w:rsid w:val="004E325B"/>
    <w:rsid w:val="004E340C"/>
    <w:rsid w:val="004E3D31"/>
    <w:rsid w:val="004E4012"/>
    <w:rsid w:val="004E47BA"/>
    <w:rsid w:val="004E4A43"/>
    <w:rsid w:val="004E4BB2"/>
    <w:rsid w:val="004E51AA"/>
    <w:rsid w:val="004E6770"/>
    <w:rsid w:val="004E6F8B"/>
    <w:rsid w:val="004E77FF"/>
    <w:rsid w:val="004E7979"/>
    <w:rsid w:val="004E7E1C"/>
    <w:rsid w:val="004F02EC"/>
    <w:rsid w:val="004F0494"/>
    <w:rsid w:val="004F0E9F"/>
    <w:rsid w:val="004F1388"/>
    <w:rsid w:val="004F1E03"/>
    <w:rsid w:val="004F1E6C"/>
    <w:rsid w:val="004F27FB"/>
    <w:rsid w:val="004F5670"/>
    <w:rsid w:val="004F717C"/>
    <w:rsid w:val="005001F4"/>
    <w:rsid w:val="00500522"/>
    <w:rsid w:val="00500815"/>
    <w:rsid w:val="00500954"/>
    <w:rsid w:val="005016B5"/>
    <w:rsid w:val="0050186C"/>
    <w:rsid w:val="00501D79"/>
    <w:rsid w:val="00502F11"/>
    <w:rsid w:val="00502F41"/>
    <w:rsid w:val="00503E24"/>
    <w:rsid w:val="00504A75"/>
    <w:rsid w:val="00505238"/>
    <w:rsid w:val="00505DF5"/>
    <w:rsid w:val="0050655A"/>
    <w:rsid w:val="00507A32"/>
    <w:rsid w:val="00510BA7"/>
    <w:rsid w:val="005112AA"/>
    <w:rsid w:val="0051192A"/>
    <w:rsid w:val="005122F2"/>
    <w:rsid w:val="00512C4A"/>
    <w:rsid w:val="00513185"/>
    <w:rsid w:val="00515413"/>
    <w:rsid w:val="005155C3"/>
    <w:rsid w:val="005171D9"/>
    <w:rsid w:val="0051780D"/>
    <w:rsid w:val="0052015D"/>
    <w:rsid w:val="005201E2"/>
    <w:rsid w:val="00520B35"/>
    <w:rsid w:val="005215B3"/>
    <w:rsid w:val="00522875"/>
    <w:rsid w:val="005231B6"/>
    <w:rsid w:val="00523A82"/>
    <w:rsid w:val="00524EBB"/>
    <w:rsid w:val="00524F8B"/>
    <w:rsid w:val="00526FFA"/>
    <w:rsid w:val="0053079A"/>
    <w:rsid w:val="005311AF"/>
    <w:rsid w:val="00531C53"/>
    <w:rsid w:val="005340A1"/>
    <w:rsid w:val="00534B4B"/>
    <w:rsid w:val="00535F93"/>
    <w:rsid w:val="005367CB"/>
    <w:rsid w:val="00536E41"/>
    <w:rsid w:val="00537985"/>
    <w:rsid w:val="00537AAB"/>
    <w:rsid w:val="00537CB9"/>
    <w:rsid w:val="00540872"/>
    <w:rsid w:val="00542792"/>
    <w:rsid w:val="0054285D"/>
    <w:rsid w:val="00542E22"/>
    <w:rsid w:val="00544045"/>
    <w:rsid w:val="00545702"/>
    <w:rsid w:val="0054579B"/>
    <w:rsid w:val="00545C04"/>
    <w:rsid w:val="00546556"/>
    <w:rsid w:val="00546DB2"/>
    <w:rsid w:val="00547BB2"/>
    <w:rsid w:val="00547D3D"/>
    <w:rsid w:val="00550199"/>
    <w:rsid w:val="005507BB"/>
    <w:rsid w:val="005509BE"/>
    <w:rsid w:val="00551120"/>
    <w:rsid w:val="00551720"/>
    <w:rsid w:val="0055190C"/>
    <w:rsid w:val="005528F0"/>
    <w:rsid w:val="005542FE"/>
    <w:rsid w:val="00554A36"/>
    <w:rsid w:val="00555326"/>
    <w:rsid w:val="00555F73"/>
    <w:rsid w:val="0055624A"/>
    <w:rsid w:val="0055624C"/>
    <w:rsid w:val="00556426"/>
    <w:rsid w:val="00556DF0"/>
    <w:rsid w:val="005577A1"/>
    <w:rsid w:val="00560B9E"/>
    <w:rsid w:val="0056271D"/>
    <w:rsid w:val="00563946"/>
    <w:rsid w:val="00564044"/>
    <w:rsid w:val="005643AA"/>
    <w:rsid w:val="00564CAE"/>
    <w:rsid w:val="00565033"/>
    <w:rsid w:val="00565347"/>
    <w:rsid w:val="00570F92"/>
    <w:rsid w:val="0057120E"/>
    <w:rsid w:val="005732DE"/>
    <w:rsid w:val="005733B6"/>
    <w:rsid w:val="00573B8A"/>
    <w:rsid w:val="00574074"/>
    <w:rsid w:val="005745F5"/>
    <w:rsid w:val="005746A9"/>
    <w:rsid w:val="00574B7F"/>
    <w:rsid w:val="00574BA1"/>
    <w:rsid w:val="0057585F"/>
    <w:rsid w:val="00575F45"/>
    <w:rsid w:val="00576240"/>
    <w:rsid w:val="00576E29"/>
    <w:rsid w:val="00576E54"/>
    <w:rsid w:val="00577B11"/>
    <w:rsid w:val="005801FE"/>
    <w:rsid w:val="00581E42"/>
    <w:rsid w:val="00581E52"/>
    <w:rsid w:val="00582456"/>
    <w:rsid w:val="0058271A"/>
    <w:rsid w:val="00582F9B"/>
    <w:rsid w:val="00583030"/>
    <w:rsid w:val="00584538"/>
    <w:rsid w:val="00585A58"/>
    <w:rsid w:val="00586A02"/>
    <w:rsid w:val="00586FC1"/>
    <w:rsid w:val="005870D8"/>
    <w:rsid w:val="00587C3F"/>
    <w:rsid w:val="00587F6F"/>
    <w:rsid w:val="00590325"/>
    <w:rsid w:val="00591DE6"/>
    <w:rsid w:val="00592249"/>
    <w:rsid w:val="0059264B"/>
    <w:rsid w:val="00592818"/>
    <w:rsid w:val="00593081"/>
    <w:rsid w:val="0059386B"/>
    <w:rsid w:val="0059433C"/>
    <w:rsid w:val="0059461A"/>
    <w:rsid w:val="00595106"/>
    <w:rsid w:val="0059521E"/>
    <w:rsid w:val="00595B37"/>
    <w:rsid w:val="00595E58"/>
    <w:rsid w:val="005970C1"/>
    <w:rsid w:val="00597126"/>
    <w:rsid w:val="00597FF3"/>
    <w:rsid w:val="005A00B0"/>
    <w:rsid w:val="005A03F0"/>
    <w:rsid w:val="005A10FD"/>
    <w:rsid w:val="005A572B"/>
    <w:rsid w:val="005A5D62"/>
    <w:rsid w:val="005A6B54"/>
    <w:rsid w:val="005A6F4A"/>
    <w:rsid w:val="005A728B"/>
    <w:rsid w:val="005A7686"/>
    <w:rsid w:val="005A7AE7"/>
    <w:rsid w:val="005B0275"/>
    <w:rsid w:val="005B0590"/>
    <w:rsid w:val="005B07D6"/>
    <w:rsid w:val="005B0F7E"/>
    <w:rsid w:val="005B14A0"/>
    <w:rsid w:val="005B168C"/>
    <w:rsid w:val="005B1C67"/>
    <w:rsid w:val="005B2092"/>
    <w:rsid w:val="005B2A1E"/>
    <w:rsid w:val="005B2A81"/>
    <w:rsid w:val="005B2CD8"/>
    <w:rsid w:val="005B2D46"/>
    <w:rsid w:val="005B3952"/>
    <w:rsid w:val="005B3C44"/>
    <w:rsid w:val="005B47E3"/>
    <w:rsid w:val="005B5557"/>
    <w:rsid w:val="005B68B4"/>
    <w:rsid w:val="005B6D0D"/>
    <w:rsid w:val="005B6F08"/>
    <w:rsid w:val="005B70F7"/>
    <w:rsid w:val="005B76FA"/>
    <w:rsid w:val="005C02B6"/>
    <w:rsid w:val="005C02D7"/>
    <w:rsid w:val="005C1A79"/>
    <w:rsid w:val="005C1C83"/>
    <w:rsid w:val="005C256E"/>
    <w:rsid w:val="005C2FD7"/>
    <w:rsid w:val="005C36D3"/>
    <w:rsid w:val="005C5ADD"/>
    <w:rsid w:val="005C6A61"/>
    <w:rsid w:val="005C6D3E"/>
    <w:rsid w:val="005C7942"/>
    <w:rsid w:val="005C7D90"/>
    <w:rsid w:val="005D1637"/>
    <w:rsid w:val="005D342B"/>
    <w:rsid w:val="005D3D48"/>
    <w:rsid w:val="005D3DEA"/>
    <w:rsid w:val="005D5095"/>
    <w:rsid w:val="005D5D3C"/>
    <w:rsid w:val="005D6355"/>
    <w:rsid w:val="005D66F7"/>
    <w:rsid w:val="005D7036"/>
    <w:rsid w:val="005D79A7"/>
    <w:rsid w:val="005E0133"/>
    <w:rsid w:val="005E1448"/>
    <w:rsid w:val="005E2981"/>
    <w:rsid w:val="005E2A55"/>
    <w:rsid w:val="005E2EB8"/>
    <w:rsid w:val="005E402A"/>
    <w:rsid w:val="005E4192"/>
    <w:rsid w:val="005E4325"/>
    <w:rsid w:val="005E5986"/>
    <w:rsid w:val="005E6CA3"/>
    <w:rsid w:val="005E776B"/>
    <w:rsid w:val="005F0E71"/>
    <w:rsid w:val="005F1627"/>
    <w:rsid w:val="005F19C6"/>
    <w:rsid w:val="005F1DB7"/>
    <w:rsid w:val="005F35D8"/>
    <w:rsid w:val="005F43E9"/>
    <w:rsid w:val="005F46D0"/>
    <w:rsid w:val="005F4CBF"/>
    <w:rsid w:val="005F4D8F"/>
    <w:rsid w:val="005F54AF"/>
    <w:rsid w:val="005F5521"/>
    <w:rsid w:val="005F5DC4"/>
    <w:rsid w:val="005F5E70"/>
    <w:rsid w:val="005F6097"/>
    <w:rsid w:val="005F6F8A"/>
    <w:rsid w:val="005F7045"/>
    <w:rsid w:val="005F7273"/>
    <w:rsid w:val="005F7448"/>
    <w:rsid w:val="00600B08"/>
    <w:rsid w:val="006012B8"/>
    <w:rsid w:val="00602D29"/>
    <w:rsid w:val="0060494A"/>
    <w:rsid w:val="006051C6"/>
    <w:rsid w:val="0060562C"/>
    <w:rsid w:val="0060706B"/>
    <w:rsid w:val="006117EC"/>
    <w:rsid w:val="00613DAE"/>
    <w:rsid w:val="00613F4E"/>
    <w:rsid w:val="0061411E"/>
    <w:rsid w:val="006142E6"/>
    <w:rsid w:val="00614694"/>
    <w:rsid w:val="006151DB"/>
    <w:rsid w:val="006158E2"/>
    <w:rsid w:val="00616218"/>
    <w:rsid w:val="00616489"/>
    <w:rsid w:val="00616FF3"/>
    <w:rsid w:val="00620451"/>
    <w:rsid w:val="00621A47"/>
    <w:rsid w:val="00621A7E"/>
    <w:rsid w:val="00622CC6"/>
    <w:rsid w:val="00623522"/>
    <w:rsid w:val="00624922"/>
    <w:rsid w:val="0062510A"/>
    <w:rsid w:val="00625371"/>
    <w:rsid w:val="00625F81"/>
    <w:rsid w:val="00626234"/>
    <w:rsid w:val="0062650E"/>
    <w:rsid w:val="00626894"/>
    <w:rsid w:val="00626CC1"/>
    <w:rsid w:val="00626CC3"/>
    <w:rsid w:val="00627130"/>
    <w:rsid w:val="00627937"/>
    <w:rsid w:val="00627A8B"/>
    <w:rsid w:val="00630297"/>
    <w:rsid w:val="006319B0"/>
    <w:rsid w:val="00631B3A"/>
    <w:rsid w:val="00631C55"/>
    <w:rsid w:val="00631CAD"/>
    <w:rsid w:val="00632A46"/>
    <w:rsid w:val="00633AD8"/>
    <w:rsid w:val="0063406C"/>
    <w:rsid w:val="00634A78"/>
    <w:rsid w:val="00635871"/>
    <w:rsid w:val="006372A4"/>
    <w:rsid w:val="00637DF6"/>
    <w:rsid w:val="00640014"/>
    <w:rsid w:val="006427F3"/>
    <w:rsid w:val="00643D8C"/>
    <w:rsid w:val="00644046"/>
    <w:rsid w:val="00644240"/>
    <w:rsid w:val="0064619D"/>
    <w:rsid w:val="00646EA2"/>
    <w:rsid w:val="00646FE7"/>
    <w:rsid w:val="00647826"/>
    <w:rsid w:val="00647F8B"/>
    <w:rsid w:val="006514DE"/>
    <w:rsid w:val="00652A1E"/>
    <w:rsid w:val="006540CE"/>
    <w:rsid w:val="00654313"/>
    <w:rsid w:val="0065450F"/>
    <w:rsid w:val="006546EA"/>
    <w:rsid w:val="00655CCF"/>
    <w:rsid w:val="00656316"/>
    <w:rsid w:val="006574AE"/>
    <w:rsid w:val="00660D98"/>
    <w:rsid w:val="00661AAD"/>
    <w:rsid w:val="006626A6"/>
    <w:rsid w:val="00662E2D"/>
    <w:rsid w:val="00663BD6"/>
    <w:rsid w:val="00663EEC"/>
    <w:rsid w:val="00664391"/>
    <w:rsid w:val="00665EA4"/>
    <w:rsid w:val="00666B66"/>
    <w:rsid w:val="00666F61"/>
    <w:rsid w:val="00666FED"/>
    <w:rsid w:val="00667A93"/>
    <w:rsid w:val="006705C4"/>
    <w:rsid w:val="00670819"/>
    <w:rsid w:val="006713A0"/>
    <w:rsid w:val="006719D5"/>
    <w:rsid w:val="00671C50"/>
    <w:rsid w:val="00671D61"/>
    <w:rsid w:val="00671DFE"/>
    <w:rsid w:val="00672F5C"/>
    <w:rsid w:val="006730F8"/>
    <w:rsid w:val="0067510C"/>
    <w:rsid w:val="0067522D"/>
    <w:rsid w:val="00675FF2"/>
    <w:rsid w:val="00676C7D"/>
    <w:rsid w:val="0067701B"/>
    <w:rsid w:val="0067736F"/>
    <w:rsid w:val="0067757D"/>
    <w:rsid w:val="006814B9"/>
    <w:rsid w:val="00681721"/>
    <w:rsid w:val="0068214A"/>
    <w:rsid w:val="00682258"/>
    <w:rsid w:val="0068386A"/>
    <w:rsid w:val="00684D6B"/>
    <w:rsid w:val="00685258"/>
    <w:rsid w:val="006856F4"/>
    <w:rsid w:val="006869EE"/>
    <w:rsid w:val="00686BD1"/>
    <w:rsid w:val="00690474"/>
    <w:rsid w:val="00690E4A"/>
    <w:rsid w:val="00690E9F"/>
    <w:rsid w:val="00690EAC"/>
    <w:rsid w:val="00692D8C"/>
    <w:rsid w:val="00694214"/>
    <w:rsid w:val="00696147"/>
    <w:rsid w:val="006969EC"/>
    <w:rsid w:val="00696C94"/>
    <w:rsid w:val="00697877"/>
    <w:rsid w:val="00697E71"/>
    <w:rsid w:val="006A0BF2"/>
    <w:rsid w:val="006A1A85"/>
    <w:rsid w:val="006A41F9"/>
    <w:rsid w:val="006A5630"/>
    <w:rsid w:val="006A698B"/>
    <w:rsid w:val="006A6EAA"/>
    <w:rsid w:val="006A72CA"/>
    <w:rsid w:val="006A7924"/>
    <w:rsid w:val="006A79D1"/>
    <w:rsid w:val="006A7ED8"/>
    <w:rsid w:val="006B15CB"/>
    <w:rsid w:val="006B19AC"/>
    <w:rsid w:val="006B1AED"/>
    <w:rsid w:val="006B2984"/>
    <w:rsid w:val="006B2AD4"/>
    <w:rsid w:val="006B38EA"/>
    <w:rsid w:val="006B430D"/>
    <w:rsid w:val="006B460C"/>
    <w:rsid w:val="006B49DB"/>
    <w:rsid w:val="006B4D3F"/>
    <w:rsid w:val="006B500D"/>
    <w:rsid w:val="006B5E5F"/>
    <w:rsid w:val="006B673F"/>
    <w:rsid w:val="006B7494"/>
    <w:rsid w:val="006B7E0A"/>
    <w:rsid w:val="006C03E5"/>
    <w:rsid w:val="006C2167"/>
    <w:rsid w:val="006C3123"/>
    <w:rsid w:val="006C4AB0"/>
    <w:rsid w:val="006C508B"/>
    <w:rsid w:val="006C5352"/>
    <w:rsid w:val="006C5DA0"/>
    <w:rsid w:val="006C667F"/>
    <w:rsid w:val="006C6E84"/>
    <w:rsid w:val="006D088D"/>
    <w:rsid w:val="006D0E5C"/>
    <w:rsid w:val="006D1492"/>
    <w:rsid w:val="006D171D"/>
    <w:rsid w:val="006D1F5B"/>
    <w:rsid w:val="006D2AA0"/>
    <w:rsid w:val="006D359D"/>
    <w:rsid w:val="006D3720"/>
    <w:rsid w:val="006D3CA4"/>
    <w:rsid w:val="006D57BB"/>
    <w:rsid w:val="006D5CCF"/>
    <w:rsid w:val="006D7198"/>
    <w:rsid w:val="006E030E"/>
    <w:rsid w:val="006E0FF2"/>
    <w:rsid w:val="006E2B92"/>
    <w:rsid w:val="006E3DEA"/>
    <w:rsid w:val="006E4315"/>
    <w:rsid w:val="006E4D70"/>
    <w:rsid w:val="006E5139"/>
    <w:rsid w:val="006E5222"/>
    <w:rsid w:val="006E5F03"/>
    <w:rsid w:val="006E75B7"/>
    <w:rsid w:val="006E7C78"/>
    <w:rsid w:val="006F0816"/>
    <w:rsid w:val="006F15F1"/>
    <w:rsid w:val="006F2AAB"/>
    <w:rsid w:val="006F33CE"/>
    <w:rsid w:val="006F3DEA"/>
    <w:rsid w:val="006F4BA9"/>
    <w:rsid w:val="006F4DCA"/>
    <w:rsid w:val="006F56A6"/>
    <w:rsid w:val="006F56FC"/>
    <w:rsid w:val="006F5AD4"/>
    <w:rsid w:val="006F5B3B"/>
    <w:rsid w:val="006F5D8B"/>
    <w:rsid w:val="006F7881"/>
    <w:rsid w:val="006F7B3A"/>
    <w:rsid w:val="006F7D29"/>
    <w:rsid w:val="0070027E"/>
    <w:rsid w:val="00701704"/>
    <w:rsid w:val="00702D7A"/>
    <w:rsid w:val="00704263"/>
    <w:rsid w:val="007046DC"/>
    <w:rsid w:val="00704866"/>
    <w:rsid w:val="007049B1"/>
    <w:rsid w:val="00704B47"/>
    <w:rsid w:val="00704E2E"/>
    <w:rsid w:val="007055CE"/>
    <w:rsid w:val="007059DC"/>
    <w:rsid w:val="007068D4"/>
    <w:rsid w:val="0070704C"/>
    <w:rsid w:val="0070704F"/>
    <w:rsid w:val="0070746D"/>
    <w:rsid w:val="00707711"/>
    <w:rsid w:val="00707C42"/>
    <w:rsid w:val="00710E9B"/>
    <w:rsid w:val="007115C5"/>
    <w:rsid w:val="00711C30"/>
    <w:rsid w:val="00712934"/>
    <w:rsid w:val="00713C8B"/>
    <w:rsid w:val="00714194"/>
    <w:rsid w:val="00714521"/>
    <w:rsid w:val="007147D1"/>
    <w:rsid w:val="00714B52"/>
    <w:rsid w:val="0071537A"/>
    <w:rsid w:val="00715461"/>
    <w:rsid w:val="00716CF6"/>
    <w:rsid w:val="00717401"/>
    <w:rsid w:val="00717F33"/>
    <w:rsid w:val="00720CD8"/>
    <w:rsid w:val="007214B0"/>
    <w:rsid w:val="007221CD"/>
    <w:rsid w:val="007233FD"/>
    <w:rsid w:val="007238BC"/>
    <w:rsid w:val="007239DC"/>
    <w:rsid w:val="00723CB9"/>
    <w:rsid w:val="00724017"/>
    <w:rsid w:val="00724ADF"/>
    <w:rsid w:val="00724BCD"/>
    <w:rsid w:val="007255A1"/>
    <w:rsid w:val="00725B34"/>
    <w:rsid w:val="007265BA"/>
    <w:rsid w:val="00727798"/>
    <w:rsid w:val="0072793A"/>
    <w:rsid w:val="00730038"/>
    <w:rsid w:val="00732A14"/>
    <w:rsid w:val="007341B1"/>
    <w:rsid w:val="007344A4"/>
    <w:rsid w:val="007355F8"/>
    <w:rsid w:val="00735662"/>
    <w:rsid w:val="00735B25"/>
    <w:rsid w:val="00736361"/>
    <w:rsid w:val="00740ACE"/>
    <w:rsid w:val="00740B58"/>
    <w:rsid w:val="00740E27"/>
    <w:rsid w:val="007412E8"/>
    <w:rsid w:val="00742126"/>
    <w:rsid w:val="00742D4A"/>
    <w:rsid w:val="00743225"/>
    <w:rsid w:val="007433D7"/>
    <w:rsid w:val="0074352E"/>
    <w:rsid w:val="00745EA5"/>
    <w:rsid w:val="007464C6"/>
    <w:rsid w:val="007467B4"/>
    <w:rsid w:val="00747913"/>
    <w:rsid w:val="00747C8C"/>
    <w:rsid w:val="00750704"/>
    <w:rsid w:val="00751612"/>
    <w:rsid w:val="0075233F"/>
    <w:rsid w:val="0075257C"/>
    <w:rsid w:val="007529D0"/>
    <w:rsid w:val="00753209"/>
    <w:rsid w:val="007534E8"/>
    <w:rsid w:val="00753C1F"/>
    <w:rsid w:val="00755A79"/>
    <w:rsid w:val="00756562"/>
    <w:rsid w:val="00760862"/>
    <w:rsid w:val="0076101D"/>
    <w:rsid w:val="00761BE7"/>
    <w:rsid w:val="00761C6F"/>
    <w:rsid w:val="007632B0"/>
    <w:rsid w:val="00763531"/>
    <w:rsid w:val="00764F09"/>
    <w:rsid w:val="007654A0"/>
    <w:rsid w:val="00765742"/>
    <w:rsid w:val="00765799"/>
    <w:rsid w:val="00766B50"/>
    <w:rsid w:val="00767414"/>
    <w:rsid w:val="00770104"/>
    <w:rsid w:val="00770230"/>
    <w:rsid w:val="0077173C"/>
    <w:rsid w:val="00771BE1"/>
    <w:rsid w:val="00771EA3"/>
    <w:rsid w:val="0077412A"/>
    <w:rsid w:val="007758E6"/>
    <w:rsid w:val="0077594C"/>
    <w:rsid w:val="007809D3"/>
    <w:rsid w:val="007810BC"/>
    <w:rsid w:val="0078194A"/>
    <w:rsid w:val="00781B7E"/>
    <w:rsid w:val="0078209D"/>
    <w:rsid w:val="0078265B"/>
    <w:rsid w:val="00782E4E"/>
    <w:rsid w:val="00782FCB"/>
    <w:rsid w:val="007830AB"/>
    <w:rsid w:val="0078310D"/>
    <w:rsid w:val="00783260"/>
    <w:rsid w:val="007841DE"/>
    <w:rsid w:val="00784DDA"/>
    <w:rsid w:val="00784FE4"/>
    <w:rsid w:val="00785405"/>
    <w:rsid w:val="007855FC"/>
    <w:rsid w:val="00785890"/>
    <w:rsid w:val="00785A01"/>
    <w:rsid w:val="00785F15"/>
    <w:rsid w:val="00786AF9"/>
    <w:rsid w:val="007875B2"/>
    <w:rsid w:val="00787662"/>
    <w:rsid w:val="00787EEA"/>
    <w:rsid w:val="0079131F"/>
    <w:rsid w:val="007916FD"/>
    <w:rsid w:val="00792637"/>
    <w:rsid w:val="007931DC"/>
    <w:rsid w:val="00793760"/>
    <w:rsid w:val="00795114"/>
    <w:rsid w:val="0079625C"/>
    <w:rsid w:val="0079798F"/>
    <w:rsid w:val="00797A0B"/>
    <w:rsid w:val="007A2640"/>
    <w:rsid w:val="007A2B76"/>
    <w:rsid w:val="007A3F45"/>
    <w:rsid w:val="007A446F"/>
    <w:rsid w:val="007A452D"/>
    <w:rsid w:val="007A5B02"/>
    <w:rsid w:val="007A5DFB"/>
    <w:rsid w:val="007A6B89"/>
    <w:rsid w:val="007A7380"/>
    <w:rsid w:val="007B095E"/>
    <w:rsid w:val="007B0B2B"/>
    <w:rsid w:val="007B23AB"/>
    <w:rsid w:val="007B303C"/>
    <w:rsid w:val="007B3919"/>
    <w:rsid w:val="007B398C"/>
    <w:rsid w:val="007B3DB6"/>
    <w:rsid w:val="007B4AD2"/>
    <w:rsid w:val="007B4B6E"/>
    <w:rsid w:val="007B4D18"/>
    <w:rsid w:val="007B56AE"/>
    <w:rsid w:val="007B5888"/>
    <w:rsid w:val="007B7459"/>
    <w:rsid w:val="007C046E"/>
    <w:rsid w:val="007C1038"/>
    <w:rsid w:val="007C1348"/>
    <w:rsid w:val="007C1D26"/>
    <w:rsid w:val="007C5CA7"/>
    <w:rsid w:val="007C619A"/>
    <w:rsid w:val="007C61E0"/>
    <w:rsid w:val="007C65E9"/>
    <w:rsid w:val="007C6724"/>
    <w:rsid w:val="007C678F"/>
    <w:rsid w:val="007D09E7"/>
    <w:rsid w:val="007D2674"/>
    <w:rsid w:val="007D270B"/>
    <w:rsid w:val="007D35CB"/>
    <w:rsid w:val="007D429B"/>
    <w:rsid w:val="007D53AB"/>
    <w:rsid w:val="007D5714"/>
    <w:rsid w:val="007D57CA"/>
    <w:rsid w:val="007D6335"/>
    <w:rsid w:val="007D6B3D"/>
    <w:rsid w:val="007D747A"/>
    <w:rsid w:val="007D766A"/>
    <w:rsid w:val="007E1095"/>
    <w:rsid w:val="007E2732"/>
    <w:rsid w:val="007E2D2E"/>
    <w:rsid w:val="007E2D44"/>
    <w:rsid w:val="007E30E7"/>
    <w:rsid w:val="007E3B43"/>
    <w:rsid w:val="007E53F8"/>
    <w:rsid w:val="007E5C97"/>
    <w:rsid w:val="007E607D"/>
    <w:rsid w:val="007E632E"/>
    <w:rsid w:val="007E7236"/>
    <w:rsid w:val="007E73D5"/>
    <w:rsid w:val="007F2AED"/>
    <w:rsid w:val="007F3FAB"/>
    <w:rsid w:val="007F49A5"/>
    <w:rsid w:val="007F5BB3"/>
    <w:rsid w:val="007F5E03"/>
    <w:rsid w:val="007F6301"/>
    <w:rsid w:val="007F6A76"/>
    <w:rsid w:val="007F74B4"/>
    <w:rsid w:val="008007C6"/>
    <w:rsid w:val="0080131A"/>
    <w:rsid w:val="00802641"/>
    <w:rsid w:val="008029E0"/>
    <w:rsid w:val="00802E77"/>
    <w:rsid w:val="00804113"/>
    <w:rsid w:val="008043D8"/>
    <w:rsid w:val="0080460B"/>
    <w:rsid w:val="00804F3A"/>
    <w:rsid w:val="0080515B"/>
    <w:rsid w:val="00805F00"/>
    <w:rsid w:val="00805F12"/>
    <w:rsid w:val="008061C5"/>
    <w:rsid w:val="008069D6"/>
    <w:rsid w:val="008078EE"/>
    <w:rsid w:val="0080791C"/>
    <w:rsid w:val="00807FE3"/>
    <w:rsid w:val="00810807"/>
    <w:rsid w:val="00810AB2"/>
    <w:rsid w:val="00810EC5"/>
    <w:rsid w:val="00811F4A"/>
    <w:rsid w:val="008135E5"/>
    <w:rsid w:val="00814223"/>
    <w:rsid w:val="0081677B"/>
    <w:rsid w:val="008179C0"/>
    <w:rsid w:val="008212F1"/>
    <w:rsid w:val="0082194F"/>
    <w:rsid w:val="008219AE"/>
    <w:rsid w:val="00821AA8"/>
    <w:rsid w:val="008222B4"/>
    <w:rsid w:val="00824D89"/>
    <w:rsid w:val="00825172"/>
    <w:rsid w:val="008258E8"/>
    <w:rsid w:val="00826589"/>
    <w:rsid w:val="0082695C"/>
    <w:rsid w:val="008311AB"/>
    <w:rsid w:val="008320DD"/>
    <w:rsid w:val="008321B0"/>
    <w:rsid w:val="008323A5"/>
    <w:rsid w:val="00832469"/>
    <w:rsid w:val="0083318E"/>
    <w:rsid w:val="008331A9"/>
    <w:rsid w:val="008332BE"/>
    <w:rsid w:val="008340C7"/>
    <w:rsid w:val="008341DA"/>
    <w:rsid w:val="008347DB"/>
    <w:rsid w:val="00835880"/>
    <w:rsid w:val="0083606A"/>
    <w:rsid w:val="00840691"/>
    <w:rsid w:val="0084166F"/>
    <w:rsid w:val="00841CC7"/>
    <w:rsid w:val="00842A0B"/>
    <w:rsid w:val="0084315D"/>
    <w:rsid w:val="008438AD"/>
    <w:rsid w:val="00843E4F"/>
    <w:rsid w:val="00844FF0"/>
    <w:rsid w:val="00845659"/>
    <w:rsid w:val="00845962"/>
    <w:rsid w:val="00846876"/>
    <w:rsid w:val="00846B02"/>
    <w:rsid w:val="00846B3C"/>
    <w:rsid w:val="00846E00"/>
    <w:rsid w:val="008472B8"/>
    <w:rsid w:val="008474D9"/>
    <w:rsid w:val="00851905"/>
    <w:rsid w:val="008519D8"/>
    <w:rsid w:val="00852E65"/>
    <w:rsid w:val="008530A6"/>
    <w:rsid w:val="0085426E"/>
    <w:rsid w:val="0085477E"/>
    <w:rsid w:val="0085555E"/>
    <w:rsid w:val="008565B1"/>
    <w:rsid w:val="0085756E"/>
    <w:rsid w:val="00857A0F"/>
    <w:rsid w:val="00857BCA"/>
    <w:rsid w:val="00857D89"/>
    <w:rsid w:val="008600DF"/>
    <w:rsid w:val="00862F0E"/>
    <w:rsid w:val="00865A1B"/>
    <w:rsid w:val="00865CC6"/>
    <w:rsid w:val="00865EEF"/>
    <w:rsid w:val="00867182"/>
    <w:rsid w:val="0086753D"/>
    <w:rsid w:val="00871DF5"/>
    <w:rsid w:val="008720DB"/>
    <w:rsid w:val="00873837"/>
    <w:rsid w:val="00874D3A"/>
    <w:rsid w:val="00875228"/>
    <w:rsid w:val="0087585D"/>
    <w:rsid w:val="00876668"/>
    <w:rsid w:val="00876785"/>
    <w:rsid w:val="008776EF"/>
    <w:rsid w:val="00880451"/>
    <w:rsid w:val="00882186"/>
    <w:rsid w:val="00882BA2"/>
    <w:rsid w:val="008838B2"/>
    <w:rsid w:val="00884DB5"/>
    <w:rsid w:val="008850F7"/>
    <w:rsid w:val="00885E3B"/>
    <w:rsid w:val="00887156"/>
    <w:rsid w:val="008871EA"/>
    <w:rsid w:val="00887E7B"/>
    <w:rsid w:val="0089146A"/>
    <w:rsid w:val="00892917"/>
    <w:rsid w:val="008942B7"/>
    <w:rsid w:val="0089619D"/>
    <w:rsid w:val="00896EA3"/>
    <w:rsid w:val="00896EE7"/>
    <w:rsid w:val="008A0F3F"/>
    <w:rsid w:val="008A21AA"/>
    <w:rsid w:val="008A2E22"/>
    <w:rsid w:val="008A3010"/>
    <w:rsid w:val="008A39D3"/>
    <w:rsid w:val="008A574D"/>
    <w:rsid w:val="008A6349"/>
    <w:rsid w:val="008A68B7"/>
    <w:rsid w:val="008A72F7"/>
    <w:rsid w:val="008B2751"/>
    <w:rsid w:val="008B27AB"/>
    <w:rsid w:val="008B3209"/>
    <w:rsid w:val="008B387E"/>
    <w:rsid w:val="008B3F2D"/>
    <w:rsid w:val="008B4F5A"/>
    <w:rsid w:val="008B5204"/>
    <w:rsid w:val="008B60B4"/>
    <w:rsid w:val="008B6D97"/>
    <w:rsid w:val="008B73F1"/>
    <w:rsid w:val="008B787D"/>
    <w:rsid w:val="008B7AC1"/>
    <w:rsid w:val="008C038D"/>
    <w:rsid w:val="008C1C21"/>
    <w:rsid w:val="008C1C86"/>
    <w:rsid w:val="008C1FD6"/>
    <w:rsid w:val="008C213F"/>
    <w:rsid w:val="008C304A"/>
    <w:rsid w:val="008C40E5"/>
    <w:rsid w:val="008C414D"/>
    <w:rsid w:val="008C46C9"/>
    <w:rsid w:val="008C4B67"/>
    <w:rsid w:val="008C634A"/>
    <w:rsid w:val="008C7A1A"/>
    <w:rsid w:val="008C7CFC"/>
    <w:rsid w:val="008C7DD4"/>
    <w:rsid w:val="008D03F7"/>
    <w:rsid w:val="008D0B5D"/>
    <w:rsid w:val="008D0F2E"/>
    <w:rsid w:val="008D1C13"/>
    <w:rsid w:val="008D30F0"/>
    <w:rsid w:val="008D34BB"/>
    <w:rsid w:val="008D52B1"/>
    <w:rsid w:val="008D5A07"/>
    <w:rsid w:val="008D5FFF"/>
    <w:rsid w:val="008D7424"/>
    <w:rsid w:val="008E0FE5"/>
    <w:rsid w:val="008E1D3F"/>
    <w:rsid w:val="008E25FD"/>
    <w:rsid w:val="008E3A72"/>
    <w:rsid w:val="008E53FB"/>
    <w:rsid w:val="008E541C"/>
    <w:rsid w:val="008E55DA"/>
    <w:rsid w:val="008E6BB0"/>
    <w:rsid w:val="008E70EF"/>
    <w:rsid w:val="008E7F0A"/>
    <w:rsid w:val="008F03F9"/>
    <w:rsid w:val="008F1A7F"/>
    <w:rsid w:val="008F1B84"/>
    <w:rsid w:val="008F21CE"/>
    <w:rsid w:val="008F2FC6"/>
    <w:rsid w:val="008F43B6"/>
    <w:rsid w:val="008F4CBB"/>
    <w:rsid w:val="008F6310"/>
    <w:rsid w:val="008F6CB1"/>
    <w:rsid w:val="008F7B97"/>
    <w:rsid w:val="008F7F14"/>
    <w:rsid w:val="00900D4C"/>
    <w:rsid w:val="00900DA3"/>
    <w:rsid w:val="0090200A"/>
    <w:rsid w:val="00902A3D"/>
    <w:rsid w:val="00903FE4"/>
    <w:rsid w:val="00904484"/>
    <w:rsid w:val="009048C7"/>
    <w:rsid w:val="0090511D"/>
    <w:rsid w:val="009060B4"/>
    <w:rsid w:val="00907301"/>
    <w:rsid w:val="00907D84"/>
    <w:rsid w:val="0091307E"/>
    <w:rsid w:val="00914943"/>
    <w:rsid w:val="00915719"/>
    <w:rsid w:val="00916592"/>
    <w:rsid w:val="00916BA2"/>
    <w:rsid w:val="00917A58"/>
    <w:rsid w:val="00920A21"/>
    <w:rsid w:val="00920A3F"/>
    <w:rsid w:val="0092283D"/>
    <w:rsid w:val="00922CA7"/>
    <w:rsid w:val="00922DB5"/>
    <w:rsid w:val="00923E2F"/>
    <w:rsid w:val="009242B5"/>
    <w:rsid w:val="00924D46"/>
    <w:rsid w:val="00924E78"/>
    <w:rsid w:val="0092562B"/>
    <w:rsid w:val="00925646"/>
    <w:rsid w:val="00925D7B"/>
    <w:rsid w:val="00925ED3"/>
    <w:rsid w:val="0092770D"/>
    <w:rsid w:val="009303F4"/>
    <w:rsid w:val="00931154"/>
    <w:rsid w:val="00931AD7"/>
    <w:rsid w:val="00931E17"/>
    <w:rsid w:val="0093220F"/>
    <w:rsid w:val="00932B38"/>
    <w:rsid w:val="00934745"/>
    <w:rsid w:val="00936FAA"/>
    <w:rsid w:val="009401E3"/>
    <w:rsid w:val="009416A7"/>
    <w:rsid w:val="009417BE"/>
    <w:rsid w:val="00942904"/>
    <w:rsid w:val="00942AB3"/>
    <w:rsid w:val="0094327C"/>
    <w:rsid w:val="00943E15"/>
    <w:rsid w:val="009445B1"/>
    <w:rsid w:val="009448AF"/>
    <w:rsid w:val="0094545A"/>
    <w:rsid w:val="009454A1"/>
    <w:rsid w:val="00945E9B"/>
    <w:rsid w:val="0094625D"/>
    <w:rsid w:val="00946788"/>
    <w:rsid w:val="009476BC"/>
    <w:rsid w:val="009507E5"/>
    <w:rsid w:val="00951B97"/>
    <w:rsid w:val="0095254F"/>
    <w:rsid w:val="00952A2B"/>
    <w:rsid w:val="00952CF8"/>
    <w:rsid w:val="00956002"/>
    <w:rsid w:val="00956634"/>
    <w:rsid w:val="0095669E"/>
    <w:rsid w:val="00956725"/>
    <w:rsid w:val="00956957"/>
    <w:rsid w:val="009603C1"/>
    <w:rsid w:val="009614ED"/>
    <w:rsid w:val="00961D57"/>
    <w:rsid w:val="00962553"/>
    <w:rsid w:val="009634EF"/>
    <w:rsid w:val="00964DC3"/>
    <w:rsid w:val="0096563D"/>
    <w:rsid w:val="0096581B"/>
    <w:rsid w:val="00965DC8"/>
    <w:rsid w:val="009669BC"/>
    <w:rsid w:val="00966D7A"/>
    <w:rsid w:val="0096779E"/>
    <w:rsid w:val="0097025C"/>
    <w:rsid w:val="0097157D"/>
    <w:rsid w:val="00971805"/>
    <w:rsid w:val="009736EF"/>
    <w:rsid w:val="009742E1"/>
    <w:rsid w:val="009747D4"/>
    <w:rsid w:val="0097598D"/>
    <w:rsid w:val="00975EE9"/>
    <w:rsid w:val="00976021"/>
    <w:rsid w:val="00976697"/>
    <w:rsid w:val="009768B5"/>
    <w:rsid w:val="009827D8"/>
    <w:rsid w:val="009828E1"/>
    <w:rsid w:val="0098314D"/>
    <w:rsid w:val="00986104"/>
    <w:rsid w:val="0098694A"/>
    <w:rsid w:val="009877EF"/>
    <w:rsid w:val="009879E8"/>
    <w:rsid w:val="009901E5"/>
    <w:rsid w:val="00990961"/>
    <w:rsid w:val="00991431"/>
    <w:rsid w:val="00991F3B"/>
    <w:rsid w:val="0099255B"/>
    <w:rsid w:val="00993FBF"/>
    <w:rsid w:val="00995547"/>
    <w:rsid w:val="00995F59"/>
    <w:rsid w:val="009966F6"/>
    <w:rsid w:val="00996C6F"/>
    <w:rsid w:val="00996C7D"/>
    <w:rsid w:val="00996F33"/>
    <w:rsid w:val="009978D7"/>
    <w:rsid w:val="009A0F02"/>
    <w:rsid w:val="009A1911"/>
    <w:rsid w:val="009A1BAF"/>
    <w:rsid w:val="009A2BD4"/>
    <w:rsid w:val="009A43F7"/>
    <w:rsid w:val="009A47F4"/>
    <w:rsid w:val="009A4995"/>
    <w:rsid w:val="009A4BD4"/>
    <w:rsid w:val="009A4D06"/>
    <w:rsid w:val="009A5084"/>
    <w:rsid w:val="009A5136"/>
    <w:rsid w:val="009A5614"/>
    <w:rsid w:val="009A638F"/>
    <w:rsid w:val="009A7364"/>
    <w:rsid w:val="009A7974"/>
    <w:rsid w:val="009A7F56"/>
    <w:rsid w:val="009B0AD7"/>
    <w:rsid w:val="009B312D"/>
    <w:rsid w:val="009B4259"/>
    <w:rsid w:val="009B465D"/>
    <w:rsid w:val="009B4F28"/>
    <w:rsid w:val="009B5260"/>
    <w:rsid w:val="009B600D"/>
    <w:rsid w:val="009B626D"/>
    <w:rsid w:val="009B6498"/>
    <w:rsid w:val="009B674C"/>
    <w:rsid w:val="009B6B29"/>
    <w:rsid w:val="009B72E4"/>
    <w:rsid w:val="009B772A"/>
    <w:rsid w:val="009B7AF0"/>
    <w:rsid w:val="009C0236"/>
    <w:rsid w:val="009C12DE"/>
    <w:rsid w:val="009C39B3"/>
    <w:rsid w:val="009C3E25"/>
    <w:rsid w:val="009C4854"/>
    <w:rsid w:val="009C57F6"/>
    <w:rsid w:val="009C64AD"/>
    <w:rsid w:val="009C661E"/>
    <w:rsid w:val="009C7136"/>
    <w:rsid w:val="009C7237"/>
    <w:rsid w:val="009C74D3"/>
    <w:rsid w:val="009C7514"/>
    <w:rsid w:val="009D020F"/>
    <w:rsid w:val="009D0FF0"/>
    <w:rsid w:val="009D2567"/>
    <w:rsid w:val="009D3D40"/>
    <w:rsid w:val="009D48CD"/>
    <w:rsid w:val="009D57A4"/>
    <w:rsid w:val="009D72A3"/>
    <w:rsid w:val="009D7851"/>
    <w:rsid w:val="009E2558"/>
    <w:rsid w:val="009E2D15"/>
    <w:rsid w:val="009E39CB"/>
    <w:rsid w:val="009E46C4"/>
    <w:rsid w:val="009E5629"/>
    <w:rsid w:val="009E5E0A"/>
    <w:rsid w:val="009E5F1E"/>
    <w:rsid w:val="009E614F"/>
    <w:rsid w:val="009E6333"/>
    <w:rsid w:val="009E7675"/>
    <w:rsid w:val="009E7972"/>
    <w:rsid w:val="009F0D3E"/>
    <w:rsid w:val="009F2825"/>
    <w:rsid w:val="009F2AF3"/>
    <w:rsid w:val="009F3412"/>
    <w:rsid w:val="009F384C"/>
    <w:rsid w:val="009F4233"/>
    <w:rsid w:val="009F649F"/>
    <w:rsid w:val="009F66C4"/>
    <w:rsid w:val="009F7A1C"/>
    <w:rsid w:val="00A005A7"/>
    <w:rsid w:val="00A00682"/>
    <w:rsid w:val="00A006C3"/>
    <w:rsid w:val="00A00C32"/>
    <w:rsid w:val="00A00DF9"/>
    <w:rsid w:val="00A011A4"/>
    <w:rsid w:val="00A011F1"/>
    <w:rsid w:val="00A01CF2"/>
    <w:rsid w:val="00A02050"/>
    <w:rsid w:val="00A04363"/>
    <w:rsid w:val="00A04AB7"/>
    <w:rsid w:val="00A04F2D"/>
    <w:rsid w:val="00A05E98"/>
    <w:rsid w:val="00A05EE2"/>
    <w:rsid w:val="00A060A6"/>
    <w:rsid w:val="00A07028"/>
    <w:rsid w:val="00A07933"/>
    <w:rsid w:val="00A07ED8"/>
    <w:rsid w:val="00A10A3F"/>
    <w:rsid w:val="00A10E07"/>
    <w:rsid w:val="00A11472"/>
    <w:rsid w:val="00A1294F"/>
    <w:rsid w:val="00A12F68"/>
    <w:rsid w:val="00A13D92"/>
    <w:rsid w:val="00A152BF"/>
    <w:rsid w:val="00A153AA"/>
    <w:rsid w:val="00A1545F"/>
    <w:rsid w:val="00A15CC1"/>
    <w:rsid w:val="00A15F4C"/>
    <w:rsid w:val="00A1675B"/>
    <w:rsid w:val="00A171FE"/>
    <w:rsid w:val="00A175A1"/>
    <w:rsid w:val="00A179CD"/>
    <w:rsid w:val="00A179F7"/>
    <w:rsid w:val="00A17A05"/>
    <w:rsid w:val="00A200C6"/>
    <w:rsid w:val="00A2019D"/>
    <w:rsid w:val="00A21815"/>
    <w:rsid w:val="00A21A4D"/>
    <w:rsid w:val="00A232C0"/>
    <w:rsid w:val="00A23468"/>
    <w:rsid w:val="00A23B23"/>
    <w:rsid w:val="00A24B56"/>
    <w:rsid w:val="00A24E61"/>
    <w:rsid w:val="00A24E66"/>
    <w:rsid w:val="00A26F01"/>
    <w:rsid w:val="00A27F35"/>
    <w:rsid w:val="00A27FE9"/>
    <w:rsid w:val="00A3033E"/>
    <w:rsid w:val="00A30AC6"/>
    <w:rsid w:val="00A30C3E"/>
    <w:rsid w:val="00A30D4A"/>
    <w:rsid w:val="00A31E7A"/>
    <w:rsid w:val="00A33662"/>
    <w:rsid w:val="00A3475E"/>
    <w:rsid w:val="00A347C1"/>
    <w:rsid w:val="00A34C52"/>
    <w:rsid w:val="00A35214"/>
    <w:rsid w:val="00A35EE3"/>
    <w:rsid w:val="00A35FD7"/>
    <w:rsid w:val="00A366C5"/>
    <w:rsid w:val="00A36999"/>
    <w:rsid w:val="00A3741C"/>
    <w:rsid w:val="00A37E3C"/>
    <w:rsid w:val="00A37EBC"/>
    <w:rsid w:val="00A37FAF"/>
    <w:rsid w:val="00A40624"/>
    <w:rsid w:val="00A43AE0"/>
    <w:rsid w:val="00A43C0D"/>
    <w:rsid w:val="00A43C14"/>
    <w:rsid w:val="00A44768"/>
    <w:rsid w:val="00A44974"/>
    <w:rsid w:val="00A44A17"/>
    <w:rsid w:val="00A45916"/>
    <w:rsid w:val="00A45BF9"/>
    <w:rsid w:val="00A45CC7"/>
    <w:rsid w:val="00A47F08"/>
    <w:rsid w:val="00A50049"/>
    <w:rsid w:val="00A502A3"/>
    <w:rsid w:val="00A5081D"/>
    <w:rsid w:val="00A50C06"/>
    <w:rsid w:val="00A511D4"/>
    <w:rsid w:val="00A513BD"/>
    <w:rsid w:val="00A51528"/>
    <w:rsid w:val="00A5282D"/>
    <w:rsid w:val="00A53679"/>
    <w:rsid w:val="00A54138"/>
    <w:rsid w:val="00A54486"/>
    <w:rsid w:val="00A544B5"/>
    <w:rsid w:val="00A545E6"/>
    <w:rsid w:val="00A549F7"/>
    <w:rsid w:val="00A561BA"/>
    <w:rsid w:val="00A568AA"/>
    <w:rsid w:val="00A5702D"/>
    <w:rsid w:val="00A576E2"/>
    <w:rsid w:val="00A5786C"/>
    <w:rsid w:val="00A57A4A"/>
    <w:rsid w:val="00A612B3"/>
    <w:rsid w:val="00A63018"/>
    <w:rsid w:val="00A633A4"/>
    <w:rsid w:val="00A634F6"/>
    <w:rsid w:val="00A637E4"/>
    <w:rsid w:val="00A640EF"/>
    <w:rsid w:val="00A64DFD"/>
    <w:rsid w:val="00A65647"/>
    <w:rsid w:val="00A6574F"/>
    <w:rsid w:val="00A67807"/>
    <w:rsid w:val="00A67BD0"/>
    <w:rsid w:val="00A70A1E"/>
    <w:rsid w:val="00A70B81"/>
    <w:rsid w:val="00A71528"/>
    <w:rsid w:val="00A71F02"/>
    <w:rsid w:val="00A72CAE"/>
    <w:rsid w:val="00A73746"/>
    <w:rsid w:val="00A737B9"/>
    <w:rsid w:val="00A73AAF"/>
    <w:rsid w:val="00A7480A"/>
    <w:rsid w:val="00A74A6A"/>
    <w:rsid w:val="00A7560F"/>
    <w:rsid w:val="00A75C62"/>
    <w:rsid w:val="00A77AFF"/>
    <w:rsid w:val="00A802F8"/>
    <w:rsid w:val="00A82266"/>
    <w:rsid w:val="00A8452F"/>
    <w:rsid w:val="00A84D00"/>
    <w:rsid w:val="00A84F2B"/>
    <w:rsid w:val="00A85496"/>
    <w:rsid w:val="00A85BAC"/>
    <w:rsid w:val="00A871B9"/>
    <w:rsid w:val="00A87A24"/>
    <w:rsid w:val="00A9219A"/>
    <w:rsid w:val="00A9299D"/>
    <w:rsid w:val="00A92A2D"/>
    <w:rsid w:val="00A931E1"/>
    <w:rsid w:val="00A95B06"/>
    <w:rsid w:val="00A965B8"/>
    <w:rsid w:val="00A96890"/>
    <w:rsid w:val="00A969C8"/>
    <w:rsid w:val="00A96B0F"/>
    <w:rsid w:val="00A97B8A"/>
    <w:rsid w:val="00A97E60"/>
    <w:rsid w:val="00A97EBE"/>
    <w:rsid w:val="00A97ED6"/>
    <w:rsid w:val="00AA0D68"/>
    <w:rsid w:val="00AA175E"/>
    <w:rsid w:val="00AA30CD"/>
    <w:rsid w:val="00AA3290"/>
    <w:rsid w:val="00AA3622"/>
    <w:rsid w:val="00AA386D"/>
    <w:rsid w:val="00AA3CF8"/>
    <w:rsid w:val="00AA4623"/>
    <w:rsid w:val="00AA46F1"/>
    <w:rsid w:val="00AA6128"/>
    <w:rsid w:val="00AA6BD5"/>
    <w:rsid w:val="00AA6D1C"/>
    <w:rsid w:val="00AA7111"/>
    <w:rsid w:val="00AB0E3B"/>
    <w:rsid w:val="00AB0F3A"/>
    <w:rsid w:val="00AB15FF"/>
    <w:rsid w:val="00AB1E1E"/>
    <w:rsid w:val="00AB2220"/>
    <w:rsid w:val="00AB4C86"/>
    <w:rsid w:val="00AB5493"/>
    <w:rsid w:val="00AB66B7"/>
    <w:rsid w:val="00AB70FE"/>
    <w:rsid w:val="00AC06F0"/>
    <w:rsid w:val="00AC0D75"/>
    <w:rsid w:val="00AC191C"/>
    <w:rsid w:val="00AC2079"/>
    <w:rsid w:val="00AC2446"/>
    <w:rsid w:val="00AC3145"/>
    <w:rsid w:val="00AC3791"/>
    <w:rsid w:val="00AC3B09"/>
    <w:rsid w:val="00AC43D4"/>
    <w:rsid w:val="00AC4DEE"/>
    <w:rsid w:val="00AC530C"/>
    <w:rsid w:val="00AC55AA"/>
    <w:rsid w:val="00AC5CD5"/>
    <w:rsid w:val="00AC709F"/>
    <w:rsid w:val="00AC7520"/>
    <w:rsid w:val="00AC7CEE"/>
    <w:rsid w:val="00AC7DB9"/>
    <w:rsid w:val="00AD008B"/>
    <w:rsid w:val="00AD045D"/>
    <w:rsid w:val="00AD0543"/>
    <w:rsid w:val="00AD0DE8"/>
    <w:rsid w:val="00AD0ED2"/>
    <w:rsid w:val="00AD172E"/>
    <w:rsid w:val="00AD18FD"/>
    <w:rsid w:val="00AD198A"/>
    <w:rsid w:val="00AD1A80"/>
    <w:rsid w:val="00AD2E94"/>
    <w:rsid w:val="00AD3283"/>
    <w:rsid w:val="00AD4451"/>
    <w:rsid w:val="00AD5532"/>
    <w:rsid w:val="00AD59B9"/>
    <w:rsid w:val="00AD631A"/>
    <w:rsid w:val="00AD64E1"/>
    <w:rsid w:val="00AD715F"/>
    <w:rsid w:val="00AD7DC4"/>
    <w:rsid w:val="00AE018D"/>
    <w:rsid w:val="00AE043B"/>
    <w:rsid w:val="00AE0516"/>
    <w:rsid w:val="00AE0B66"/>
    <w:rsid w:val="00AE0DD1"/>
    <w:rsid w:val="00AE0F50"/>
    <w:rsid w:val="00AE1FF2"/>
    <w:rsid w:val="00AE342B"/>
    <w:rsid w:val="00AE351B"/>
    <w:rsid w:val="00AE3FBF"/>
    <w:rsid w:val="00AE4796"/>
    <w:rsid w:val="00AE48F0"/>
    <w:rsid w:val="00AE528B"/>
    <w:rsid w:val="00AE5E48"/>
    <w:rsid w:val="00AE646C"/>
    <w:rsid w:val="00AE70AE"/>
    <w:rsid w:val="00AE715A"/>
    <w:rsid w:val="00AE7528"/>
    <w:rsid w:val="00AF0B20"/>
    <w:rsid w:val="00AF1FD0"/>
    <w:rsid w:val="00AF2BF2"/>
    <w:rsid w:val="00AF3D8A"/>
    <w:rsid w:val="00AF4747"/>
    <w:rsid w:val="00AF4F20"/>
    <w:rsid w:val="00AF58DA"/>
    <w:rsid w:val="00AF59AD"/>
    <w:rsid w:val="00AF656B"/>
    <w:rsid w:val="00AF6C62"/>
    <w:rsid w:val="00B00A2E"/>
    <w:rsid w:val="00B00AB1"/>
    <w:rsid w:val="00B00D27"/>
    <w:rsid w:val="00B01512"/>
    <w:rsid w:val="00B01C3D"/>
    <w:rsid w:val="00B01E10"/>
    <w:rsid w:val="00B03288"/>
    <w:rsid w:val="00B067E0"/>
    <w:rsid w:val="00B06C0C"/>
    <w:rsid w:val="00B0717C"/>
    <w:rsid w:val="00B07670"/>
    <w:rsid w:val="00B102AF"/>
    <w:rsid w:val="00B103E0"/>
    <w:rsid w:val="00B10ADB"/>
    <w:rsid w:val="00B125AE"/>
    <w:rsid w:val="00B13259"/>
    <w:rsid w:val="00B13918"/>
    <w:rsid w:val="00B13993"/>
    <w:rsid w:val="00B13EC2"/>
    <w:rsid w:val="00B15068"/>
    <w:rsid w:val="00B1524B"/>
    <w:rsid w:val="00B159F3"/>
    <w:rsid w:val="00B160B2"/>
    <w:rsid w:val="00B166DB"/>
    <w:rsid w:val="00B16996"/>
    <w:rsid w:val="00B17418"/>
    <w:rsid w:val="00B20AA0"/>
    <w:rsid w:val="00B21379"/>
    <w:rsid w:val="00B2139A"/>
    <w:rsid w:val="00B213D0"/>
    <w:rsid w:val="00B21BE7"/>
    <w:rsid w:val="00B22D66"/>
    <w:rsid w:val="00B23475"/>
    <w:rsid w:val="00B23A33"/>
    <w:rsid w:val="00B241BA"/>
    <w:rsid w:val="00B2691F"/>
    <w:rsid w:val="00B27825"/>
    <w:rsid w:val="00B27BAE"/>
    <w:rsid w:val="00B306A2"/>
    <w:rsid w:val="00B30E9D"/>
    <w:rsid w:val="00B322BD"/>
    <w:rsid w:val="00B33479"/>
    <w:rsid w:val="00B3454E"/>
    <w:rsid w:val="00B34F11"/>
    <w:rsid w:val="00B355F1"/>
    <w:rsid w:val="00B357C1"/>
    <w:rsid w:val="00B35A7A"/>
    <w:rsid w:val="00B362DE"/>
    <w:rsid w:val="00B368EE"/>
    <w:rsid w:val="00B36F7C"/>
    <w:rsid w:val="00B37054"/>
    <w:rsid w:val="00B3756D"/>
    <w:rsid w:val="00B37886"/>
    <w:rsid w:val="00B416A2"/>
    <w:rsid w:val="00B41C0B"/>
    <w:rsid w:val="00B42ABE"/>
    <w:rsid w:val="00B433AA"/>
    <w:rsid w:val="00B43FFE"/>
    <w:rsid w:val="00B44831"/>
    <w:rsid w:val="00B46406"/>
    <w:rsid w:val="00B46A52"/>
    <w:rsid w:val="00B471F8"/>
    <w:rsid w:val="00B475A8"/>
    <w:rsid w:val="00B47700"/>
    <w:rsid w:val="00B47B02"/>
    <w:rsid w:val="00B50790"/>
    <w:rsid w:val="00B51CA3"/>
    <w:rsid w:val="00B52783"/>
    <w:rsid w:val="00B52860"/>
    <w:rsid w:val="00B546B0"/>
    <w:rsid w:val="00B55B88"/>
    <w:rsid w:val="00B55F7E"/>
    <w:rsid w:val="00B56795"/>
    <w:rsid w:val="00B57094"/>
    <w:rsid w:val="00B601AC"/>
    <w:rsid w:val="00B60596"/>
    <w:rsid w:val="00B605A9"/>
    <w:rsid w:val="00B6080A"/>
    <w:rsid w:val="00B60CCB"/>
    <w:rsid w:val="00B61207"/>
    <w:rsid w:val="00B6173D"/>
    <w:rsid w:val="00B621AB"/>
    <w:rsid w:val="00B62964"/>
    <w:rsid w:val="00B63F73"/>
    <w:rsid w:val="00B65A74"/>
    <w:rsid w:val="00B67074"/>
    <w:rsid w:val="00B71480"/>
    <w:rsid w:val="00B71CBA"/>
    <w:rsid w:val="00B730F5"/>
    <w:rsid w:val="00B73315"/>
    <w:rsid w:val="00B74BD6"/>
    <w:rsid w:val="00B76A41"/>
    <w:rsid w:val="00B76A90"/>
    <w:rsid w:val="00B76FE8"/>
    <w:rsid w:val="00B8107E"/>
    <w:rsid w:val="00B821B9"/>
    <w:rsid w:val="00B827AD"/>
    <w:rsid w:val="00B83EBB"/>
    <w:rsid w:val="00B846BF"/>
    <w:rsid w:val="00B848E4"/>
    <w:rsid w:val="00B858BD"/>
    <w:rsid w:val="00B86439"/>
    <w:rsid w:val="00B904C3"/>
    <w:rsid w:val="00B91CE4"/>
    <w:rsid w:val="00B92A1E"/>
    <w:rsid w:val="00B93910"/>
    <w:rsid w:val="00B949E6"/>
    <w:rsid w:val="00B95A40"/>
    <w:rsid w:val="00B96133"/>
    <w:rsid w:val="00B962C1"/>
    <w:rsid w:val="00B97620"/>
    <w:rsid w:val="00B97889"/>
    <w:rsid w:val="00BA2D5E"/>
    <w:rsid w:val="00BA3684"/>
    <w:rsid w:val="00BA3F6C"/>
    <w:rsid w:val="00BA3FF2"/>
    <w:rsid w:val="00BA534D"/>
    <w:rsid w:val="00BA5378"/>
    <w:rsid w:val="00BA59AE"/>
    <w:rsid w:val="00BA5BC1"/>
    <w:rsid w:val="00BA6862"/>
    <w:rsid w:val="00BA79D3"/>
    <w:rsid w:val="00BA7B29"/>
    <w:rsid w:val="00BB00EB"/>
    <w:rsid w:val="00BB01A0"/>
    <w:rsid w:val="00BB10DD"/>
    <w:rsid w:val="00BB1583"/>
    <w:rsid w:val="00BB1A24"/>
    <w:rsid w:val="00BB1AAA"/>
    <w:rsid w:val="00BB2612"/>
    <w:rsid w:val="00BB3425"/>
    <w:rsid w:val="00BB3A3E"/>
    <w:rsid w:val="00BB3A5B"/>
    <w:rsid w:val="00BB4BBB"/>
    <w:rsid w:val="00BB59E8"/>
    <w:rsid w:val="00BB5CE4"/>
    <w:rsid w:val="00BB5E5E"/>
    <w:rsid w:val="00BB6133"/>
    <w:rsid w:val="00BB62D1"/>
    <w:rsid w:val="00BB636B"/>
    <w:rsid w:val="00BB69FC"/>
    <w:rsid w:val="00BB72B6"/>
    <w:rsid w:val="00BB747B"/>
    <w:rsid w:val="00BB78F2"/>
    <w:rsid w:val="00BC00C0"/>
    <w:rsid w:val="00BC0D82"/>
    <w:rsid w:val="00BC1945"/>
    <w:rsid w:val="00BC1DF6"/>
    <w:rsid w:val="00BC29E7"/>
    <w:rsid w:val="00BC3B33"/>
    <w:rsid w:val="00BC40CD"/>
    <w:rsid w:val="00BC5D6F"/>
    <w:rsid w:val="00BC6022"/>
    <w:rsid w:val="00BC658C"/>
    <w:rsid w:val="00BC67B6"/>
    <w:rsid w:val="00BC69C7"/>
    <w:rsid w:val="00BC7210"/>
    <w:rsid w:val="00BD040D"/>
    <w:rsid w:val="00BD0C6C"/>
    <w:rsid w:val="00BD0D68"/>
    <w:rsid w:val="00BD0EF5"/>
    <w:rsid w:val="00BD12FE"/>
    <w:rsid w:val="00BD17B0"/>
    <w:rsid w:val="00BD181D"/>
    <w:rsid w:val="00BD2040"/>
    <w:rsid w:val="00BD23CD"/>
    <w:rsid w:val="00BD2560"/>
    <w:rsid w:val="00BD2727"/>
    <w:rsid w:val="00BD273F"/>
    <w:rsid w:val="00BD276D"/>
    <w:rsid w:val="00BD2F30"/>
    <w:rsid w:val="00BD300B"/>
    <w:rsid w:val="00BD3EFD"/>
    <w:rsid w:val="00BD41E5"/>
    <w:rsid w:val="00BD509E"/>
    <w:rsid w:val="00BD576A"/>
    <w:rsid w:val="00BD63FE"/>
    <w:rsid w:val="00BD65A1"/>
    <w:rsid w:val="00BD6B2C"/>
    <w:rsid w:val="00BD6FB7"/>
    <w:rsid w:val="00BD785B"/>
    <w:rsid w:val="00BE0532"/>
    <w:rsid w:val="00BE0CE8"/>
    <w:rsid w:val="00BE154C"/>
    <w:rsid w:val="00BE18E2"/>
    <w:rsid w:val="00BE1D9E"/>
    <w:rsid w:val="00BE25EE"/>
    <w:rsid w:val="00BE35B2"/>
    <w:rsid w:val="00BE377A"/>
    <w:rsid w:val="00BE4038"/>
    <w:rsid w:val="00BE4A65"/>
    <w:rsid w:val="00BE4C8C"/>
    <w:rsid w:val="00BE5610"/>
    <w:rsid w:val="00BE5EC2"/>
    <w:rsid w:val="00BE6D2A"/>
    <w:rsid w:val="00BF1CC5"/>
    <w:rsid w:val="00BF25A0"/>
    <w:rsid w:val="00BF2F5C"/>
    <w:rsid w:val="00BF383E"/>
    <w:rsid w:val="00BF398D"/>
    <w:rsid w:val="00BF3E7A"/>
    <w:rsid w:val="00BF5430"/>
    <w:rsid w:val="00BF5F2C"/>
    <w:rsid w:val="00BF6486"/>
    <w:rsid w:val="00BF700F"/>
    <w:rsid w:val="00BF7019"/>
    <w:rsid w:val="00BF7190"/>
    <w:rsid w:val="00BF7444"/>
    <w:rsid w:val="00C00395"/>
    <w:rsid w:val="00C005C2"/>
    <w:rsid w:val="00C005FD"/>
    <w:rsid w:val="00C0155E"/>
    <w:rsid w:val="00C016BE"/>
    <w:rsid w:val="00C02B76"/>
    <w:rsid w:val="00C02FD2"/>
    <w:rsid w:val="00C033E3"/>
    <w:rsid w:val="00C03997"/>
    <w:rsid w:val="00C04062"/>
    <w:rsid w:val="00C04741"/>
    <w:rsid w:val="00C05A1F"/>
    <w:rsid w:val="00C05C11"/>
    <w:rsid w:val="00C05DC9"/>
    <w:rsid w:val="00C1051E"/>
    <w:rsid w:val="00C105FC"/>
    <w:rsid w:val="00C115E0"/>
    <w:rsid w:val="00C1193B"/>
    <w:rsid w:val="00C11A7F"/>
    <w:rsid w:val="00C11B94"/>
    <w:rsid w:val="00C11FA3"/>
    <w:rsid w:val="00C12B12"/>
    <w:rsid w:val="00C12BC6"/>
    <w:rsid w:val="00C12C01"/>
    <w:rsid w:val="00C135B3"/>
    <w:rsid w:val="00C1497E"/>
    <w:rsid w:val="00C14B2C"/>
    <w:rsid w:val="00C15BD8"/>
    <w:rsid w:val="00C16C57"/>
    <w:rsid w:val="00C17C56"/>
    <w:rsid w:val="00C20F37"/>
    <w:rsid w:val="00C211FB"/>
    <w:rsid w:val="00C21491"/>
    <w:rsid w:val="00C21E4B"/>
    <w:rsid w:val="00C2210F"/>
    <w:rsid w:val="00C22645"/>
    <w:rsid w:val="00C2287A"/>
    <w:rsid w:val="00C22A4F"/>
    <w:rsid w:val="00C22C26"/>
    <w:rsid w:val="00C230A4"/>
    <w:rsid w:val="00C23619"/>
    <w:rsid w:val="00C23980"/>
    <w:rsid w:val="00C23D6B"/>
    <w:rsid w:val="00C23FCA"/>
    <w:rsid w:val="00C2442C"/>
    <w:rsid w:val="00C2446C"/>
    <w:rsid w:val="00C24B2D"/>
    <w:rsid w:val="00C2620F"/>
    <w:rsid w:val="00C26918"/>
    <w:rsid w:val="00C272EF"/>
    <w:rsid w:val="00C27998"/>
    <w:rsid w:val="00C30A9E"/>
    <w:rsid w:val="00C30F0E"/>
    <w:rsid w:val="00C318C6"/>
    <w:rsid w:val="00C31AAC"/>
    <w:rsid w:val="00C3329B"/>
    <w:rsid w:val="00C33581"/>
    <w:rsid w:val="00C33EEC"/>
    <w:rsid w:val="00C3493D"/>
    <w:rsid w:val="00C349BA"/>
    <w:rsid w:val="00C3524F"/>
    <w:rsid w:val="00C35839"/>
    <w:rsid w:val="00C35EA6"/>
    <w:rsid w:val="00C36199"/>
    <w:rsid w:val="00C367EF"/>
    <w:rsid w:val="00C36DBB"/>
    <w:rsid w:val="00C3725F"/>
    <w:rsid w:val="00C3747A"/>
    <w:rsid w:val="00C40A5D"/>
    <w:rsid w:val="00C40A94"/>
    <w:rsid w:val="00C40FFE"/>
    <w:rsid w:val="00C41616"/>
    <w:rsid w:val="00C420A0"/>
    <w:rsid w:val="00C427DA"/>
    <w:rsid w:val="00C449E6"/>
    <w:rsid w:val="00C4520C"/>
    <w:rsid w:val="00C458D4"/>
    <w:rsid w:val="00C46524"/>
    <w:rsid w:val="00C468C9"/>
    <w:rsid w:val="00C47160"/>
    <w:rsid w:val="00C508B1"/>
    <w:rsid w:val="00C5136E"/>
    <w:rsid w:val="00C519DD"/>
    <w:rsid w:val="00C51A87"/>
    <w:rsid w:val="00C51C04"/>
    <w:rsid w:val="00C52200"/>
    <w:rsid w:val="00C52CFC"/>
    <w:rsid w:val="00C535DA"/>
    <w:rsid w:val="00C537DF"/>
    <w:rsid w:val="00C5385A"/>
    <w:rsid w:val="00C53BEE"/>
    <w:rsid w:val="00C544FC"/>
    <w:rsid w:val="00C54940"/>
    <w:rsid w:val="00C56A9C"/>
    <w:rsid w:val="00C56EF6"/>
    <w:rsid w:val="00C57E9D"/>
    <w:rsid w:val="00C602A3"/>
    <w:rsid w:val="00C608F0"/>
    <w:rsid w:val="00C6211F"/>
    <w:rsid w:val="00C62787"/>
    <w:rsid w:val="00C631F3"/>
    <w:rsid w:val="00C64746"/>
    <w:rsid w:val="00C6545A"/>
    <w:rsid w:val="00C65E87"/>
    <w:rsid w:val="00C66CCC"/>
    <w:rsid w:val="00C66D01"/>
    <w:rsid w:val="00C66FA9"/>
    <w:rsid w:val="00C67CDD"/>
    <w:rsid w:val="00C67F40"/>
    <w:rsid w:val="00C67F9C"/>
    <w:rsid w:val="00C70364"/>
    <w:rsid w:val="00C70D79"/>
    <w:rsid w:val="00C71128"/>
    <w:rsid w:val="00C71A09"/>
    <w:rsid w:val="00C728BE"/>
    <w:rsid w:val="00C72BBB"/>
    <w:rsid w:val="00C733A5"/>
    <w:rsid w:val="00C735F8"/>
    <w:rsid w:val="00C73E6C"/>
    <w:rsid w:val="00C7475C"/>
    <w:rsid w:val="00C749E2"/>
    <w:rsid w:val="00C755A2"/>
    <w:rsid w:val="00C8053D"/>
    <w:rsid w:val="00C805A5"/>
    <w:rsid w:val="00C81D9A"/>
    <w:rsid w:val="00C82D30"/>
    <w:rsid w:val="00C83ED0"/>
    <w:rsid w:val="00C84A59"/>
    <w:rsid w:val="00C85BC0"/>
    <w:rsid w:val="00C85C1A"/>
    <w:rsid w:val="00C91252"/>
    <w:rsid w:val="00C91B58"/>
    <w:rsid w:val="00C924E3"/>
    <w:rsid w:val="00C946CF"/>
    <w:rsid w:val="00C946EE"/>
    <w:rsid w:val="00C947D1"/>
    <w:rsid w:val="00C94E6E"/>
    <w:rsid w:val="00C9517D"/>
    <w:rsid w:val="00C958DE"/>
    <w:rsid w:val="00C95933"/>
    <w:rsid w:val="00C95EFA"/>
    <w:rsid w:val="00C96B9D"/>
    <w:rsid w:val="00C96C7E"/>
    <w:rsid w:val="00C97836"/>
    <w:rsid w:val="00C97C09"/>
    <w:rsid w:val="00C97E44"/>
    <w:rsid w:val="00CA02B9"/>
    <w:rsid w:val="00CA047B"/>
    <w:rsid w:val="00CA05D3"/>
    <w:rsid w:val="00CA22F1"/>
    <w:rsid w:val="00CA2DC9"/>
    <w:rsid w:val="00CA3329"/>
    <w:rsid w:val="00CA38D5"/>
    <w:rsid w:val="00CA45E1"/>
    <w:rsid w:val="00CA528C"/>
    <w:rsid w:val="00CA56A1"/>
    <w:rsid w:val="00CA5719"/>
    <w:rsid w:val="00CA6573"/>
    <w:rsid w:val="00CA6605"/>
    <w:rsid w:val="00CA72AB"/>
    <w:rsid w:val="00CB032B"/>
    <w:rsid w:val="00CB07D4"/>
    <w:rsid w:val="00CB116E"/>
    <w:rsid w:val="00CB2451"/>
    <w:rsid w:val="00CB2E9E"/>
    <w:rsid w:val="00CB4BB6"/>
    <w:rsid w:val="00CB5A00"/>
    <w:rsid w:val="00CB604E"/>
    <w:rsid w:val="00CB615C"/>
    <w:rsid w:val="00CB64BC"/>
    <w:rsid w:val="00CB662A"/>
    <w:rsid w:val="00CB6675"/>
    <w:rsid w:val="00CB67D9"/>
    <w:rsid w:val="00CB6A7A"/>
    <w:rsid w:val="00CB6AE6"/>
    <w:rsid w:val="00CB6B79"/>
    <w:rsid w:val="00CB71C6"/>
    <w:rsid w:val="00CB7678"/>
    <w:rsid w:val="00CC0B10"/>
    <w:rsid w:val="00CC17BE"/>
    <w:rsid w:val="00CC2198"/>
    <w:rsid w:val="00CC2BDC"/>
    <w:rsid w:val="00CC44C9"/>
    <w:rsid w:val="00CC46BF"/>
    <w:rsid w:val="00CC696A"/>
    <w:rsid w:val="00CC6A6E"/>
    <w:rsid w:val="00CC7943"/>
    <w:rsid w:val="00CD071A"/>
    <w:rsid w:val="00CD28BD"/>
    <w:rsid w:val="00CD3127"/>
    <w:rsid w:val="00CD3426"/>
    <w:rsid w:val="00CD37D1"/>
    <w:rsid w:val="00CD3CE8"/>
    <w:rsid w:val="00CD43CC"/>
    <w:rsid w:val="00CD4EA0"/>
    <w:rsid w:val="00CD50A1"/>
    <w:rsid w:val="00CD57DC"/>
    <w:rsid w:val="00CD6E97"/>
    <w:rsid w:val="00CD715B"/>
    <w:rsid w:val="00CE0C7B"/>
    <w:rsid w:val="00CE1977"/>
    <w:rsid w:val="00CE3991"/>
    <w:rsid w:val="00CE5667"/>
    <w:rsid w:val="00CE668A"/>
    <w:rsid w:val="00CE6CB6"/>
    <w:rsid w:val="00CE6D5D"/>
    <w:rsid w:val="00CE7CB4"/>
    <w:rsid w:val="00CF0025"/>
    <w:rsid w:val="00CF0328"/>
    <w:rsid w:val="00CF0D55"/>
    <w:rsid w:val="00CF1CF3"/>
    <w:rsid w:val="00CF1DF9"/>
    <w:rsid w:val="00CF260B"/>
    <w:rsid w:val="00CF2F91"/>
    <w:rsid w:val="00CF3A98"/>
    <w:rsid w:val="00CF45EC"/>
    <w:rsid w:val="00CF4E4B"/>
    <w:rsid w:val="00CF6A87"/>
    <w:rsid w:val="00CF6C71"/>
    <w:rsid w:val="00CF7374"/>
    <w:rsid w:val="00D0071A"/>
    <w:rsid w:val="00D00BA1"/>
    <w:rsid w:val="00D01D75"/>
    <w:rsid w:val="00D01D96"/>
    <w:rsid w:val="00D01DB9"/>
    <w:rsid w:val="00D02071"/>
    <w:rsid w:val="00D02252"/>
    <w:rsid w:val="00D02C50"/>
    <w:rsid w:val="00D02E5F"/>
    <w:rsid w:val="00D041B3"/>
    <w:rsid w:val="00D04795"/>
    <w:rsid w:val="00D0520A"/>
    <w:rsid w:val="00D0609C"/>
    <w:rsid w:val="00D06C5C"/>
    <w:rsid w:val="00D06F74"/>
    <w:rsid w:val="00D07139"/>
    <w:rsid w:val="00D113AA"/>
    <w:rsid w:val="00D11DBE"/>
    <w:rsid w:val="00D12043"/>
    <w:rsid w:val="00D121F0"/>
    <w:rsid w:val="00D14367"/>
    <w:rsid w:val="00D1538F"/>
    <w:rsid w:val="00D15949"/>
    <w:rsid w:val="00D16A72"/>
    <w:rsid w:val="00D1768D"/>
    <w:rsid w:val="00D20C9A"/>
    <w:rsid w:val="00D21472"/>
    <w:rsid w:val="00D21C7E"/>
    <w:rsid w:val="00D21FE9"/>
    <w:rsid w:val="00D2268B"/>
    <w:rsid w:val="00D22810"/>
    <w:rsid w:val="00D22A07"/>
    <w:rsid w:val="00D23186"/>
    <w:rsid w:val="00D237D9"/>
    <w:rsid w:val="00D238EA"/>
    <w:rsid w:val="00D23B65"/>
    <w:rsid w:val="00D2466B"/>
    <w:rsid w:val="00D24FC8"/>
    <w:rsid w:val="00D250D3"/>
    <w:rsid w:val="00D25DAE"/>
    <w:rsid w:val="00D26544"/>
    <w:rsid w:val="00D27764"/>
    <w:rsid w:val="00D30CAE"/>
    <w:rsid w:val="00D31582"/>
    <w:rsid w:val="00D316FE"/>
    <w:rsid w:val="00D3195D"/>
    <w:rsid w:val="00D32291"/>
    <w:rsid w:val="00D32C6E"/>
    <w:rsid w:val="00D32D16"/>
    <w:rsid w:val="00D347B2"/>
    <w:rsid w:val="00D36432"/>
    <w:rsid w:val="00D36D10"/>
    <w:rsid w:val="00D36F6D"/>
    <w:rsid w:val="00D370EA"/>
    <w:rsid w:val="00D372CE"/>
    <w:rsid w:val="00D37700"/>
    <w:rsid w:val="00D37D01"/>
    <w:rsid w:val="00D40414"/>
    <w:rsid w:val="00D404AE"/>
    <w:rsid w:val="00D4080C"/>
    <w:rsid w:val="00D40DE5"/>
    <w:rsid w:val="00D41936"/>
    <w:rsid w:val="00D419A9"/>
    <w:rsid w:val="00D41F16"/>
    <w:rsid w:val="00D41FDA"/>
    <w:rsid w:val="00D43D8D"/>
    <w:rsid w:val="00D447AB"/>
    <w:rsid w:val="00D44BDB"/>
    <w:rsid w:val="00D456ED"/>
    <w:rsid w:val="00D46163"/>
    <w:rsid w:val="00D46AD3"/>
    <w:rsid w:val="00D46AF1"/>
    <w:rsid w:val="00D507E5"/>
    <w:rsid w:val="00D51207"/>
    <w:rsid w:val="00D52156"/>
    <w:rsid w:val="00D55852"/>
    <w:rsid w:val="00D55DFD"/>
    <w:rsid w:val="00D56B2A"/>
    <w:rsid w:val="00D56ED6"/>
    <w:rsid w:val="00D57475"/>
    <w:rsid w:val="00D613F0"/>
    <w:rsid w:val="00D61B7F"/>
    <w:rsid w:val="00D61CD9"/>
    <w:rsid w:val="00D62282"/>
    <w:rsid w:val="00D6317F"/>
    <w:rsid w:val="00D634E5"/>
    <w:rsid w:val="00D63649"/>
    <w:rsid w:val="00D63D55"/>
    <w:rsid w:val="00D643CF"/>
    <w:rsid w:val="00D65353"/>
    <w:rsid w:val="00D659BE"/>
    <w:rsid w:val="00D65ED1"/>
    <w:rsid w:val="00D6750E"/>
    <w:rsid w:val="00D70174"/>
    <w:rsid w:val="00D711A4"/>
    <w:rsid w:val="00D714A0"/>
    <w:rsid w:val="00D7189F"/>
    <w:rsid w:val="00D72479"/>
    <w:rsid w:val="00D727AD"/>
    <w:rsid w:val="00D72811"/>
    <w:rsid w:val="00D72CB5"/>
    <w:rsid w:val="00D72DC9"/>
    <w:rsid w:val="00D74835"/>
    <w:rsid w:val="00D74E91"/>
    <w:rsid w:val="00D75988"/>
    <w:rsid w:val="00D76749"/>
    <w:rsid w:val="00D8055B"/>
    <w:rsid w:val="00D807B8"/>
    <w:rsid w:val="00D812E9"/>
    <w:rsid w:val="00D8192C"/>
    <w:rsid w:val="00D81ADE"/>
    <w:rsid w:val="00D8251E"/>
    <w:rsid w:val="00D82C9A"/>
    <w:rsid w:val="00D83079"/>
    <w:rsid w:val="00D83107"/>
    <w:rsid w:val="00D83D2D"/>
    <w:rsid w:val="00D84D45"/>
    <w:rsid w:val="00D8568B"/>
    <w:rsid w:val="00D859F1"/>
    <w:rsid w:val="00D869C9"/>
    <w:rsid w:val="00D86D7D"/>
    <w:rsid w:val="00D87C6F"/>
    <w:rsid w:val="00D90233"/>
    <w:rsid w:val="00D910AD"/>
    <w:rsid w:val="00D91263"/>
    <w:rsid w:val="00D91CB4"/>
    <w:rsid w:val="00D91E12"/>
    <w:rsid w:val="00D91F83"/>
    <w:rsid w:val="00D92321"/>
    <w:rsid w:val="00D924C7"/>
    <w:rsid w:val="00D924D5"/>
    <w:rsid w:val="00D92ABE"/>
    <w:rsid w:val="00D93677"/>
    <w:rsid w:val="00D93B34"/>
    <w:rsid w:val="00D95906"/>
    <w:rsid w:val="00D95B37"/>
    <w:rsid w:val="00D96283"/>
    <w:rsid w:val="00D966FD"/>
    <w:rsid w:val="00D96AEC"/>
    <w:rsid w:val="00D97409"/>
    <w:rsid w:val="00DA05C5"/>
    <w:rsid w:val="00DA09A4"/>
    <w:rsid w:val="00DA0C91"/>
    <w:rsid w:val="00DA12AB"/>
    <w:rsid w:val="00DA2BF0"/>
    <w:rsid w:val="00DA2FA8"/>
    <w:rsid w:val="00DA39AC"/>
    <w:rsid w:val="00DA4398"/>
    <w:rsid w:val="00DA4C41"/>
    <w:rsid w:val="00DA5096"/>
    <w:rsid w:val="00DA757A"/>
    <w:rsid w:val="00DB08A1"/>
    <w:rsid w:val="00DB0CAC"/>
    <w:rsid w:val="00DB2A0B"/>
    <w:rsid w:val="00DB2B4D"/>
    <w:rsid w:val="00DB2F39"/>
    <w:rsid w:val="00DB3345"/>
    <w:rsid w:val="00DB379F"/>
    <w:rsid w:val="00DB38C8"/>
    <w:rsid w:val="00DB3D4B"/>
    <w:rsid w:val="00DB42C1"/>
    <w:rsid w:val="00DB54A6"/>
    <w:rsid w:val="00DB54DF"/>
    <w:rsid w:val="00DB5DED"/>
    <w:rsid w:val="00DB6DED"/>
    <w:rsid w:val="00DB6E18"/>
    <w:rsid w:val="00DB7C70"/>
    <w:rsid w:val="00DC00F1"/>
    <w:rsid w:val="00DC1D3B"/>
    <w:rsid w:val="00DC2263"/>
    <w:rsid w:val="00DC232E"/>
    <w:rsid w:val="00DC37E8"/>
    <w:rsid w:val="00DC3F34"/>
    <w:rsid w:val="00DC4854"/>
    <w:rsid w:val="00DC5B73"/>
    <w:rsid w:val="00DC6F9B"/>
    <w:rsid w:val="00DD2069"/>
    <w:rsid w:val="00DD2779"/>
    <w:rsid w:val="00DD3328"/>
    <w:rsid w:val="00DD5CD5"/>
    <w:rsid w:val="00DD652F"/>
    <w:rsid w:val="00DD6A78"/>
    <w:rsid w:val="00DD7CED"/>
    <w:rsid w:val="00DD7D98"/>
    <w:rsid w:val="00DE0830"/>
    <w:rsid w:val="00DE0C88"/>
    <w:rsid w:val="00DE100E"/>
    <w:rsid w:val="00DE1AAD"/>
    <w:rsid w:val="00DE24EC"/>
    <w:rsid w:val="00DE27BA"/>
    <w:rsid w:val="00DE3518"/>
    <w:rsid w:val="00DE3FE3"/>
    <w:rsid w:val="00DE459C"/>
    <w:rsid w:val="00DE4889"/>
    <w:rsid w:val="00DE4C43"/>
    <w:rsid w:val="00DE5740"/>
    <w:rsid w:val="00DE6611"/>
    <w:rsid w:val="00DE6641"/>
    <w:rsid w:val="00DE6C51"/>
    <w:rsid w:val="00DE7993"/>
    <w:rsid w:val="00DF019B"/>
    <w:rsid w:val="00DF0E1E"/>
    <w:rsid w:val="00DF1CEF"/>
    <w:rsid w:val="00DF2637"/>
    <w:rsid w:val="00DF2C95"/>
    <w:rsid w:val="00DF337E"/>
    <w:rsid w:val="00DF4260"/>
    <w:rsid w:val="00DF42A8"/>
    <w:rsid w:val="00DF444F"/>
    <w:rsid w:val="00DF4ED6"/>
    <w:rsid w:val="00DF7FE2"/>
    <w:rsid w:val="00E00805"/>
    <w:rsid w:val="00E00B3E"/>
    <w:rsid w:val="00E0119C"/>
    <w:rsid w:val="00E01895"/>
    <w:rsid w:val="00E02328"/>
    <w:rsid w:val="00E03A73"/>
    <w:rsid w:val="00E04221"/>
    <w:rsid w:val="00E04BA4"/>
    <w:rsid w:val="00E0502F"/>
    <w:rsid w:val="00E0631C"/>
    <w:rsid w:val="00E06646"/>
    <w:rsid w:val="00E07E62"/>
    <w:rsid w:val="00E07E8C"/>
    <w:rsid w:val="00E1000C"/>
    <w:rsid w:val="00E10423"/>
    <w:rsid w:val="00E10CA5"/>
    <w:rsid w:val="00E111E3"/>
    <w:rsid w:val="00E125DD"/>
    <w:rsid w:val="00E1355D"/>
    <w:rsid w:val="00E13750"/>
    <w:rsid w:val="00E149CC"/>
    <w:rsid w:val="00E1607C"/>
    <w:rsid w:val="00E1680A"/>
    <w:rsid w:val="00E16BFF"/>
    <w:rsid w:val="00E16E62"/>
    <w:rsid w:val="00E1755A"/>
    <w:rsid w:val="00E17DA8"/>
    <w:rsid w:val="00E17DE6"/>
    <w:rsid w:val="00E2018D"/>
    <w:rsid w:val="00E2289C"/>
    <w:rsid w:val="00E22D79"/>
    <w:rsid w:val="00E23CD1"/>
    <w:rsid w:val="00E24779"/>
    <w:rsid w:val="00E25B49"/>
    <w:rsid w:val="00E26543"/>
    <w:rsid w:val="00E2720F"/>
    <w:rsid w:val="00E27C3C"/>
    <w:rsid w:val="00E31517"/>
    <w:rsid w:val="00E31D2E"/>
    <w:rsid w:val="00E33087"/>
    <w:rsid w:val="00E33B43"/>
    <w:rsid w:val="00E33E18"/>
    <w:rsid w:val="00E40AE1"/>
    <w:rsid w:val="00E40AF6"/>
    <w:rsid w:val="00E40AF8"/>
    <w:rsid w:val="00E41783"/>
    <w:rsid w:val="00E42102"/>
    <w:rsid w:val="00E42579"/>
    <w:rsid w:val="00E42B27"/>
    <w:rsid w:val="00E43298"/>
    <w:rsid w:val="00E432EF"/>
    <w:rsid w:val="00E43832"/>
    <w:rsid w:val="00E43943"/>
    <w:rsid w:val="00E43C3C"/>
    <w:rsid w:val="00E4412C"/>
    <w:rsid w:val="00E44530"/>
    <w:rsid w:val="00E445AD"/>
    <w:rsid w:val="00E44D04"/>
    <w:rsid w:val="00E45193"/>
    <w:rsid w:val="00E45E7C"/>
    <w:rsid w:val="00E46134"/>
    <w:rsid w:val="00E4623F"/>
    <w:rsid w:val="00E46B49"/>
    <w:rsid w:val="00E47CAA"/>
    <w:rsid w:val="00E50590"/>
    <w:rsid w:val="00E51A20"/>
    <w:rsid w:val="00E532CF"/>
    <w:rsid w:val="00E54B2B"/>
    <w:rsid w:val="00E5540E"/>
    <w:rsid w:val="00E56988"/>
    <w:rsid w:val="00E56A09"/>
    <w:rsid w:val="00E56B7A"/>
    <w:rsid w:val="00E56BF1"/>
    <w:rsid w:val="00E57074"/>
    <w:rsid w:val="00E57B92"/>
    <w:rsid w:val="00E60FD4"/>
    <w:rsid w:val="00E6214F"/>
    <w:rsid w:val="00E62563"/>
    <w:rsid w:val="00E63E0F"/>
    <w:rsid w:val="00E6432E"/>
    <w:rsid w:val="00E6438A"/>
    <w:rsid w:val="00E65517"/>
    <w:rsid w:val="00E709F4"/>
    <w:rsid w:val="00E710D6"/>
    <w:rsid w:val="00E720C0"/>
    <w:rsid w:val="00E725C8"/>
    <w:rsid w:val="00E72BF3"/>
    <w:rsid w:val="00E72D49"/>
    <w:rsid w:val="00E73A52"/>
    <w:rsid w:val="00E74304"/>
    <w:rsid w:val="00E743BB"/>
    <w:rsid w:val="00E75FE1"/>
    <w:rsid w:val="00E7652D"/>
    <w:rsid w:val="00E769D3"/>
    <w:rsid w:val="00E76FDE"/>
    <w:rsid w:val="00E7775B"/>
    <w:rsid w:val="00E812FB"/>
    <w:rsid w:val="00E8254A"/>
    <w:rsid w:val="00E82C62"/>
    <w:rsid w:val="00E8360D"/>
    <w:rsid w:val="00E84500"/>
    <w:rsid w:val="00E8719E"/>
    <w:rsid w:val="00E879D3"/>
    <w:rsid w:val="00E87FFD"/>
    <w:rsid w:val="00E90300"/>
    <w:rsid w:val="00E90F8A"/>
    <w:rsid w:val="00E912C6"/>
    <w:rsid w:val="00E916BF"/>
    <w:rsid w:val="00E91C9E"/>
    <w:rsid w:val="00E9224C"/>
    <w:rsid w:val="00E92823"/>
    <w:rsid w:val="00E92D90"/>
    <w:rsid w:val="00E93D07"/>
    <w:rsid w:val="00E948BE"/>
    <w:rsid w:val="00E95348"/>
    <w:rsid w:val="00E9580E"/>
    <w:rsid w:val="00E95A1B"/>
    <w:rsid w:val="00E96524"/>
    <w:rsid w:val="00EA0679"/>
    <w:rsid w:val="00EA1A7A"/>
    <w:rsid w:val="00EA3305"/>
    <w:rsid w:val="00EA3841"/>
    <w:rsid w:val="00EA4815"/>
    <w:rsid w:val="00EA50F4"/>
    <w:rsid w:val="00EA55B0"/>
    <w:rsid w:val="00EA5FE0"/>
    <w:rsid w:val="00EA7736"/>
    <w:rsid w:val="00EB0B5B"/>
    <w:rsid w:val="00EB0FDD"/>
    <w:rsid w:val="00EB0FF8"/>
    <w:rsid w:val="00EB21DE"/>
    <w:rsid w:val="00EB2CB0"/>
    <w:rsid w:val="00EB2D5D"/>
    <w:rsid w:val="00EB318F"/>
    <w:rsid w:val="00EB31C7"/>
    <w:rsid w:val="00EB330E"/>
    <w:rsid w:val="00EB4AE4"/>
    <w:rsid w:val="00EB4E91"/>
    <w:rsid w:val="00EB5CE9"/>
    <w:rsid w:val="00EB666A"/>
    <w:rsid w:val="00EB719F"/>
    <w:rsid w:val="00EB7F4B"/>
    <w:rsid w:val="00EC2431"/>
    <w:rsid w:val="00EC24E1"/>
    <w:rsid w:val="00EC2607"/>
    <w:rsid w:val="00EC39DC"/>
    <w:rsid w:val="00EC520E"/>
    <w:rsid w:val="00EC5651"/>
    <w:rsid w:val="00EC5C8A"/>
    <w:rsid w:val="00EC6562"/>
    <w:rsid w:val="00EC67ED"/>
    <w:rsid w:val="00EC6DD2"/>
    <w:rsid w:val="00ED069D"/>
    <w:rsid w:val="00ED07B6"/>
    <w:rsid w:val="00ED0B81"/>
    <w:rsid w:val="00ED0C29"/>
    <w:rsid w:val="00ED0C4E"/>
    <w:rsid w:val="00ED0C92"/>
    <w:rsid w:val="00ED2ED7"/>
    <w:rsid w:val="00ED317D"/>
    <w:rsid w:val="00ED3384"/>
    <w:rsid w:val="00ED40F0"/>
    <w:rsid w:val="00ED4110"/>
    <w:rsid w:val="00ED504F"/>
    <w:rsid w:val="00ED63F7"/>
    <w:rsid w:val="00ED6FE8"/>
    <w:rsid w:val="00ED7D3A"/>
    <w:rsid w:val="00EE0622"/>
    <w:rsid w:val="00EE0707"/>
    <w:rsid w:val="00EE0BF5"/>
    <w:rsid w:val="00EE0C6A"/>
    <w:rsid w:val="00EE130B"/>
    <w:rsid w:val="00EE1C2E"/>
    <w:rsid w:val="00EE3C9E"/>
    <w:rsid w:val="00EE3FE1"/>
    <w:rsid w:val="00EE4D71"/>
    <w:rsid w:val="00EE58C9"/>
    <w:rsid w:val="00EE5B16"/>
    <w:rsid w:val="00EE5C19"/>
    <w:rsid w:val="00EE5E67"/>
    <w:rsid w:val="00EE7644"/>
    <w:rsid w:val="00EE79CD"/>
    <w:rsid w:val="00EE7CE1"/>
    <w:rsid w:val="00EF02E5"/>
    <w:rsid w:val="00EF09A4"/>
    <w:rsid w:val="00EF3987"/>
    <w:rsid w:val="00EF3FE0"/>
    <w:rsid w:val="00EF4350"/>
    <w:rsid w:val="00EF4D4A"/>
    <w:rsid w:val="00EF5575"/>
    <w:rsid w:val="00EF57D8"/>
    <w:rsid w:val="00EF5F83"/>
    <w:rsid w:val="00EF6192"/>
    <w:rsid w:val="00EF6551"/>
    <w:rsid w:val="00EF6597"/>
    <w:rsid w:val="00EF694C"/>
    <w:rsid w:val="00EF6B4D"/>
    <w:rsid w:val="00EF6D56"/>
    <w:rsid w:val="00EF7C25"/>
    <w:rsid w:val="00F01292"/>
    <w:rsid w:val="00F01D65"/>
    <w:rsid w:val="00F0235A"/>
    <w:rsid w:val="00F025E3"/>
    <w:rsid w:val="00F02A1B"/>
    <w:rsid w:val="00F02F75"/>
    <w:rsid w:val="00F03198"/>
    <w:rsid w:val="00F04464"/>
    <w:rsid w:val="00F0466C"/>
    <w:rsid w:val="00F05625"/>
    <w:rsid w:val="00F06935"/>
    <w:rsid w:val="00F06DA8"/>
    <w:rsid w:val="00F12212"/>
    <w:rsid w:val="00F1244D"/>
    <w:rsid w:val="00F129FF"/>
    <w:rsid w:val="00F140FA"/>
    <w:rsid w:val="00F14BF4"/>
    <w:rsid w:val="00F14FB0"/>
    <w:rsid w:val="00F1560E"/>
    <w:rsid w:val="00F1610F"/>
    <w:rsid w:val="00F1626A"/>
    <w:rsid w:val="00F16A6E"/>
    <w:rsid w:val="00F174CD"/>
    <w:rsid w:val="00F177CD"/>
    <w:rsid w:val="00F17C41"/>
    <w:rsid w:val="00F204B5"/>
    <w:rsid w:val="00F210F6"/>
    <w:rsid w:val="00F21116"/>
    <w:rsid w:val="00F213FC"/>
    <w:rsid w:val="00F22956"/>
    <w:rsid w:val="00F23CE1"/>
    <w:rsid w:val="00F248C2"/>
    <w:rsid w:val="00F24BB2"/>
    <w:rsid w:val="00F25806"/>
    <w:rsid w:val="00F25968"/>
    <w:rsid w:val="00F26B3E"/>
    <w:rsid w:val="00F26E98"/>
    <w:rsid w:val="00F27CB8"/>
    <w:rsid w:val="00F27EC6"/>
    <w:rsid w:val="00F30700"/>
    <w:rsid w:val="00F30810"/>
    <w:rsid w:val="00F312CB"/>
    <w:rsid w:val="00F3145D"/>
    <w:rsid w:val="00F32BD3"/>
    <w:rsid w:val="00F33AED"/>
    <w:rsid w:val="00F34808"/>
    <w:rsid w:val="00F36C4C"/>
    <w:rsid w:val="00F36F20"/>
    <w:rsid w:val="00F37240"/>
    <w:rsid w:val="00F37558"/>
    <w:rsid w:val="00F37828"/>
    <w:rsid w:val="00F37A19"/>
    <w:rsid w:val="00F40C60"/>
    <w:rsid w:val="00F40E5A"/>
    <w:rsid w:val="00F41BEB"/>
    <w:rsid w:val="00F4235B"/>
    <w:rsid w:val="00F4278C"/>
    <w:rsid w:val="00F42946"/>
    <w:rsid w:val="00F4587D"/>
    <w:rsid w:val="00F45A45"/>
    <w:rsid w:val="00F45A60"/>
    <w:rsid w:val="00F46199"/>
    <w:rsid w:val="00F471E7"/>
    <w:rsid w:val="00F502CF"/>
    <w:rsid w:val="00F51103"/>
    <w:rsid w:val="00F512D5"/>
    <w:rsid w:val="00F5147A"/>
    <w:rsid w:val="00F51E85"/>
    <w:rsid w:val="00F528F0"/>
    <w:rsid w:val="00F535F8"/>
    <w:rsid w:val="00F53BF4"/>
    <w:rsid w:val="00F562E8"/>
    <w:rsid w:val="00F56D8D"/>
    <w:rsid w:val="00F57BD6"/>
    <w:rsid w:val="00F60759"/>
    <w:rsid w:val="00F60E1B"/>
    <w:rsid w:val="00F6103A"/>
    <w:rsid w:val="00F62A20"/>
    <w:rsid w:val="00F64083"/>
    <w:rsid w:val="00F642D8"/>
    <w:rsid w:val="00F6542D"/>
    <w:rsid w:val="00F65D18"/>
    <w:rsid w:val="00F66122"/>
    <w:rsid w:val="00F67426"/>
    <w:rsid w:val="00F70BC4"/>
    <w:rsid w:val="00F73DC4"/>
    <w:rsid w:val="00F73F90"/>
    <w:rsid w:val="00F74039"/>
    <w:rsid w:val="00F74111"/>
    <w:rsid w:val="00F74A8C"/>
    <w:rsid w:val="00F75391"/>
    <w:rsid w:val="00F754E7"/>
    <w:rsid w:val="00F75E31"/>
    <w:rsid w:val="00F7681B"/>
    <w:rsid w:val="00F76BCC"/>
    <w:rsid w:val="00F805F1"/>
    <w:rsid w:val="00F80603"/>
    <w:rsid w:val="00F80E6E"/>
    <w:rsid w:val="00F814AD"/>
    <w:rsid w:val="00F83AAB"/>
    <w:rsid w:val="00F840C4"/>
    <w:rsid w:val="00F849B8"/>
    <w:rsid w:val="00F85375"/>
    <w:rsid w:val="00F85B59"/>
    <w:rsid w:val="00F87B46"/>
    <w:rsid w:val="00F91331"/>
    <w:rsid w:val="00F916A1"/>
    <w:rsid w:val="00F92CAE"/>
    <w:rsid w:val="00F93328"/>
    <w:rsid w:val="00F93527"/>
    <w:rsid w:val="00F93D9A"/>
    <w:rsid w:val="00F93E86"/>
    <w:rsid w:val="00F94132"/>
    <w:rsid w:val="00F948F7"/>
    <w:rsid w:val="00F95182"/>
    <w:rsid w:val="00F952C3"/>
    <w:rsid w:val="00F9553F"/>
    <w:rsid w:val="00F95C49"/>
    <w:rsid w:val="00F95C8A"/>
    <w:rsid w:val="00F95FFA"/>
    <w:rsid w:val="00F96429"/>
    <w:rsid w:val="00F964F8"/>
    <w:rsid w:val="00F96572"/>
    <w:rsid w:val="00F974EA"/>
    <w:rsid w:val="00FA061F"/>
    <w:rsid w:val="00FA1A4A"/>
    <w:rsid w:val="00FA2076"/>
    <w:rsid w:val="00FA2B0D"/>
    <w:rsid w:val="00FA2E6B"/>
    <w:rsid w:val="00FA2FB3"/>
    <w:rsid w:val="00FA4232"/>
    <w:rsid w:val="00FA50DE"/>
    <w:rsid w:val="00FA5342"/>
    <w:rsid w:val="00FA7248"/>
    <w:rsid w:val="00FA7A0E"/>
    <w:rsid w:val="00FA7DE6"/>
    <w:rsid w:val="00FA7DEF"/>
    <w:rsid w:val="00FB0249"/>
    <w:rsid w:val="00FB0428"/>
    <w:rsid w:val="00FB0BD0"/>
    <w:rsid w:val="00FB1751"/>
    <w:rsid w:val="00FB27E0"/>
    <w:rsid w:val="00FB351A"/>
    <w:rsid w:val="00FB4276"/>
    <w:rsid w:val="00FB4FA1"/>
    <w:rsid w:val="00FB51F8"/>
    <w:rsid w:val="00FB548E"/>
    <w:rsid w:val="00FB748F"/>
    <w:rsid w:val="00FB7A90"/>
    <w:rsid w:val="00FB7D66"/>
    <w:rsid w:val="00FC07B9"/>
    <w:rsid w:val="00FC13FB"/>
    <w:rsid w:val="00FC2C5F"/>
    <w:rsid w:val="00FC3E47"/>
    <w:rsid w:val="00FC40D8"/>
    <w:rsid w:val="00FC4A94"/>
    <w:rsid w:val="00FC531D"/>
    <w:rsid w:val="00FD0231"/>
    <w:rsid w:val="00FD0285"/>
    <w:rsid w:val="00FD0E8D"/>
    <w:rsid w:val="00FD1115"/>
    <w:rsid w:val="00FD20BD"/>
    <w:rsid w:val="00FD243C"/>
    <w:rsid w:val="00FD244F"/>
    <w:rsid w:val="00FD2D67"/>
    <w:rsid w:val="00FD3210"/>
    <w:rsid w:val="00FD331B"/>
    <w:rsid w:val="00FD3AFC"/>
    <w:rsid w:val="00FD3BA9"/>
    <w:rsid w:val="00FD44E0"/>
    <w:rsid w:val="00FD5AA6"/>
    <w:rsid w:val="00FD64A5"/>
    <w:rsid w:val="00FD67AF"/>
    <w:rsid w:val="00FD6B8E"/>
    <w:rsid w:val="00FD7495"/>
    <w:rsid w:val="00FD7DA5"/>
    <w:rsid w:val="00FD7DD4"/>
    <w:rsid w:val="00FE0253"/>
    <w:rsid w:val="00FE05A5"/>
    <w:rsid w:val="00FE0F58"/>
    <w:rsid w:val="00FE17B3"/>
    <w:rsid w:val="00FE19CC"/>
    <w:rsid w:val="00FE19E9"/>
    <w:rsid w:val="00FE20FF"/>
    <w:rsid w:val="00FE249A"/>
    <w:rsid w:val="00FE307C"/>
    <w:rsid w:val="00FE33DE"/>
    <w:rsid w:val="00FE3ECC"/>
    <w:rsid w:val="00FE4EAC"/>
    <w:rsid w:val="00FE5141"/>
    <w:rsid w:val="00FE5AE6"/>
    <w:rsid w:val="00FE737B"/>
    <w:rsid w:val="00FF29F7"/>
    <w:rsid w:val="00FF316B"/>
    <w:rsid w:val="00FF3AF4"/>
    <w:rsid w:val="00FF3EB6"/>
    <w:rsid w:val="00FF503B"/>
    <w:rsid w:val="00FF5089"/>
    <w:rsid w:val="00FF56EC"/>
    <w:rsid w:val="00FF5DD6"/>
    <w:rsid w:val="00FF6293"/>
    <w:rsid w:val="00FF7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6DB"/>
    <w:rPr>
      <w:lang w:eastAsia="en-US"/>
    </w:rPr>
  </w:style>
  <w:style w:type="paragraph" w:styleId="Heading1">
    <w:name w:val="heading 1"/>
    <w:basedOn w:val="Normal"/>
    <w:next w:val="Normal"/>
    <w:qFormat/>
    <w:rsid w:val="006B7E0A"/>
    <w:pPr>
      <w:keepNext/>
      <w:outlineLvl w:val="0"/>
    </w:pPr>
    <w:rPr>
      <w:b/>
      <w:snapToGrid w:val="0"/>
      <w:color w:val="000000"/>
      <w:sz w:val="22"/>
    </w:rPr>
  </w:style>
  <w:style w:type="paragraph" w:styleId="Heading2">
    <w:name w:val="heading 2"/>
    <w:basedOn w:val="Normal"/>
    <w:next w:val="Normal"/>
    <w:qFormat/>
    <w:rsid w:val="006B7E0A"/>
    <w:pPr>
      <w:keepNext/>
      <w:ind w:left="720"/>
      <w:outlineLvl w:val="1"/>
    </w:pPr>
    <w:rPr>
      <w:sz w:val="24"/>
    </w:rPr>
  </w:style>
  <w:style w:type="paragraph" w:styleId="Heading3">
    <w:name w:val="heading 3"/>
    <w:basedOn w:val="Normal"/>
    <w:next w:val="Normal"/>
    <w:qFormat/>
    <w:rsid w:val="006B7E0A"/>
    <w:pPr>
      <w:keepNext/>
      <w:jc w:val="both"/>
      <w:outlineLvl w:val="2"/>
    </w:pPr>
    <w:rPr>
      <w:b/>
    </w:rPr>
  </w:style>
  <w:style w:type="paragraph" w:styleId="Heading4">
    <w:name w:val="heading 4"/>
    <w:basedOn w:val="Normal"/>
    <w:next w:val="Normal"/>
    <w:qFormat/>
    <w:rsid w:val="006B7E0A"/>
    <w:pPr>
      <w:keepNext/>
      <w:spacing w:line="360" w:lineRule="auto"/>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E0A"/>
    <w:pPr>
      <w:jc w:val="both"/>
    </w:pPr>
    <w:rPr>
      <w:snapToGrid w:val="0"/>
      <w:color w:val="000000"/>
      <w:sz w:val="24"/>
    </w:rPr>
  </w:style>
  <w:style w:type="paragraph" w:styleId="Header">
    <w:name w:val="header"/>
    <w:basedOn w:val="Normal"/>
    <w:rsid w:val="006B7E0A"/>
    <w:pPr>
      <w:tabs>
        <w:tab w:val="center" w:pos="4320"/>
        <w:tab w:val="right" w:pos="8640"/>
      </w:tabs>
    </w:pPr>
  </w:style>
  <w:style w:type="paragraph" w:styleId="Footer">
    <w:name w:val="footer"/>
    <w:basedOn w:val="Normal"/>
    <w:rsid w:val="006B7E0A"/>
    <w:pPr>
      <w:tabs>
        <w:tab w:val="center" w:pos="4320"/>
        <w:tab w:val="right" w:pos="8640"/>
      </w:tabs>
    </w:pPr>
  </w:style>
  <w:style w:type="character" w:styleId="PageNumber">
    <w:name w:val="page number"/>
    <w:basedOn w:val="DefaultParagraphFont"/>
    <w:rsid w:val="006B7E0A"/>
  </w:style>
  <w:style w:type="paragraph" w:styleId="BodyTextIndent">
    <w:name w:val="Body Text Indent"/>
    <w:basedOn w:val="Normal"/>
    <w:link w:val="BodyTextIndentChar"/>
    <w:uiPriority w:val="99"/>
    <w:rsid w:val="006B7E0A"/>
    <w:pPr>
      <w:ind w:left="720"/>
      <w:jc w:val="both"/>
    </w:pPr>
    <w:rPr>
      <w:sz w:val="24"/>
    </w:rPr>
  </w:style>
  <w:style w:type="paragraph" w:styleId="BodyTextIndent2">
    <w:name w:val="Body Text Indent 2"/>
    <w:basedOn w:val="Normal"/>
    <w:rsid w:val="006B7E0A"/>
    <w:pPr>
      <w:ind w:left="720"/>
    </w:pPr>
    <w:rPr>
      <w:sz w:val="24"/>
    </w:rPr>
  </w:style>
  <w:style w:type="paragraph" w:styleId="BodyText2">
    <w:name w:val="Body Text 2"/>
    <w:basedOn w:val="Normal"/>
    <w:rsid w:val="006B7E0A"/>
    <w:pPr>
      <w:jc w:val="both"/>
    </w:pPr>
  </w:style>
  <w:style w:type="paragraph" w:styleId="BodyTextIndent3">
    <w:name w:val="Body Text Indent 3"/>
    <w:basedOn w:val="Normal"/>
    <w:rsid w:val="006B7E0A"/>
    <w:pPr>
      <w:ind w:left="720" w:hanging="720"/>
      <w:jc w:val="both"/>
    </w:pPr>
  </w:style>
  <w:style w:type="paragraph" w:styleId="ListParagraph">
    <w:name w:val="List Paragraph"/>
    <w:basedOn w:val="Normal"/>
    <w:uiPriority w:val="99"/>
    <w:qFormat/>
    <w:rsid w:val="002629F9"/>
    <w:pPr>
      <w:ind w:left="720"/>
    </w:pPr>
  </w:style>
  <w:style w:type="paragraph" w:styleId="BalloonText">
    <w:name w:val="Balloon Text"/>
    <w:basedOn w:val="Normal"/>
    <w:semiHidden/>
    <w:rsid w:val="00B83EBB"/>
    <w:rPr>
      <w:rFonts w:ascii="Tahoma" w:hAnsi="Tahoma" w:cs="Tahoma"/>
      <w:sz w:val="16"/>
      <w:szCs w:val="16"/>
    </w:rPr>
  </w:style>
  <w:style w:type="table" w:styleId="TableGrid">
    <w:name w:val="Table Grid"/>
    <w:basedOn w:val="TableNormal"/>
    <w:uiPriority w:val="59"/>
    <w:rsid w:val="0019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D0C92"/>
    <w:rPr>
      <w:snapToGrid w:val="0"/>
      <w:color w:val="000000"/>
      <w:sz w:val="24"/>
    </w:rPr>
  </w:style>
  <w:style w:type="paragraph" w:customStyle="1" w:styleId="listparagraph0">
    <w:name w:val="listparagraph"/>
    <w:basedOn w:val="Normal"/>
    <w:rsid w:val="000B2A76"/>
    <w:pPr>
      <w:ind w:left="720"/>
    </w:pPr>
  </w:style>
  <w:style w:type="character" w:customStyle="1" w:styleId="BodyTextIndentChar">
    <w:name w:val="Body Text Indent Char"/>
    <w:basedOn w:val="DefaultParagraphFont"/>
    <w:link w:val="BodyTextIndent"/>
    <w:uiPriority w:val="99"/>
    <w:rsid w:val="001F31CA"/>
    <w:rPr>
      <w:sz w:val="24"/>
    </w:rPr>
  </w:style>
  <w:style w:type="character" w:styleId="Strong">
    <w:name w:val="Strong"/>
    <w:basedOn w:val="DefaultParagraphFont"/>
    <w:uiPriority w:val="22"/>
    <w:qFormat/>
    <w:rsid w:val="000055A6"/>
    <w:rPr>
      <w:b/>
      <w:bCs/>
    </w:rPr>
  </w:style>
  <w:style w:type="paragraph" w:customStyle="1" w:styleId="Default">
    <w:name w:val="Default"/>
    <w:rsid w:val="00FD3210"/>
    <w:pPr>
      <w:autoSpaceDE w:val="0"/>
      <w:autoSpaceDN w:val="0"/>
      <w:adjustRightInd w:val="0"/>
    </w:pPr>
    <w:rPr>
      <w:rFonts w:ascii="Helvetica" w:eastAsia="PMingLiU" w:hAnsi="Helvetica" w:cs="Helvetica"/>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divs>
    <w:div w:id="23403542">
      <w:bodyDiv w:val="1"/>
      <w:marLeft w:val="0"/>
      <w:marRight w:val="0"/>
      <w:marTop w:val="0"/>
      <w:marBottom w:val="0"/>
      <w:divBdr>
        <w:top w:val="none" w:sz="0" w:space="0" w:color="auto"/>
        <w:left w:val="none" w:sz="0" w:space="0" w:color="auto"/>
        <w:bottom w:val="none" w:sz="0" w:space="0" w:color="auto"/>
        <w:right w:val="none" w:sz="0" w:space="0" w:color="auto"/>
      </w:divBdr>
    </w:div>
    <w:div w:id="119543010">
      <w:bodyDiv w:val="1"/>
      <w:marLeft w:val="0"/>
      <w:marRight w:val="0"/>
      <w:marTop w:val="0"/>
      <w:marBottom w:val="0"/>
      <w:divBdr>
        <w:top w:val="none" w:sz="0" w:space="0" w:color="auto"/>
        <w:left w:val="none" w:sz="0" w:space="0" w:color="auto"/>
        <w:bottom w:val="none" w:sz="0" w:space="0" w:color="auto"/>
        <w:right w:val="none" w:sz="0" w:space="0" w:color="auto"/>
      </w:divBdr>
    </w:div>
    <w:div w:id="209805782">
      <w:bodyDiv w:val="1"/>
      <w:marLeft w:val="0"/>
      <w:marRight w:val="0"/>
      <w:marTop w:val="0"/>
      <w:marBottom w:val="0"/>
      <w:divBdr>
        <w:top w:val="none" w:sz="0" w:space="0" w:color="auto"/>
        <w:left w:val="none" w:sz="0" w:space="0" w:color="auto"/>
        <w:bottom w:val="none" w:sz="0" w:space="0" w:color="auto"/>
        <w:right w:val="none" w:sz="0" w:space="0" w:color="auto"/>
      </w:divBdr>
    </w:div>
    <w:div w:id="260375150">
      <w:bodyDiv w:val="1"/>
      <w:marLeft w:val="0"/>
      <w:marRight w:val="0"/>
      <w:marTop w:val="0"/>
      <w:marBottom w:val="0"/>
      <w:divBdr>
        <w:top w:val="none" w:sz="0" w:space="0" w:color="auto"/>
        <w:left w:val="none" w:sz="0" w:space="0" w:color="auto"/>
        <w:bottom w:val="none" w:sz="0" w:space="0" w:color="auto"/>
        <w:right w:val="none" w:sz="0" w:space="0" w:color="auto"/>
      </w:divBdr>
    </w:div>
    <w:div w:id="391390209">
      <w:bodyDiv w:val="1"/>
      <w:marLeft w:val="0"/>
      <w:marRight w:val="0"/>
      <w:marTop w:val="0"/>
      <w:marBottom w:val="0"/>
      <w:divBdr>
        <w:top w:val="none" w:sz="0" w:space="0" w:color="auto"/>
        <w:left w:val="none" w:sz="0" w:space="0" w:color="auto"/>
        <w:bottom w:val="none" w:sz="0" w:space="0" w:color="auto"/>
        <w:right w:val="none" w:sz="0" w:space="0" w:color="auto"/>
      </w:divBdr>
    </w:div>
    <w:div w:id="447167043">
      <w:bodyDiv w:val="1"/>
      <w:marLeft w:val="0"/>
      <w:marRight w:val="0"/>
      <w:marTop w:val="0"/>
      <w:marBottom w:val="0"/>
      <w:divBdr>
        <w:top w:val="none" w:sz="0" w:space="0" w:color="auto"/>
        <w:left w:val="none" w:sz="0" w:space="0" w:color="auto"/>
        <w:bottom w:val="none" w:sz="0" w:space="0" w:color="auto"/>
        <w:right w:val="none" w:sz="0" w:space="0" w:color="auto"/>
      </w:divBdr>
    </w:div>
    <w:div w:id="751001659">
      <w:bodyDiv w:val="1"/>
      <w:marLeft w:val="0"/>
      <w:marRight w:val="0"/>
      <w:marTop w:val="0"/>
      <w:marBottom w:val="0"/>
      <w:divBdr>
        <w:top w:val="none" w:sz="0" w:space="0" w:color="auto"/>
        <w:left w:val="none" w:sz="0" w:space="0" w:color="auto"/>
        <w:bottom w:val="none" w:sz="0" w:space="0" w:color="auto"/>
        <w:right w:val="none" w:sz="0" w:space="0" w:color="auto"/>
      </w:divBdr>
    </w:div>
    <w:div w:id="766344850">
      <w:bodyDiv w:val="1"/>
      <w:marLeft w:val="0"/>
      <w:marRight w:val="0"/>
      <w:marTop w:val="0"/>
      <w:marBottom w:val="0"/>
      <w:divBdr>
        <w:top w:val="none" w:sz="0" w:space="0" w:color="auto"/>
        <w:left w:val="none" w:sz="0" w:space="0" w:color="auto"/>
        <w:bottom w:val="none" w:sz="0" w:space="0" w:color="auto"/>
        <w:right w:val="none" w:sz="0" w:space="0" w:color="auto"/>
      </w:divBdr>
    </w:div>
    <w:div w:id="820538859">
      <w:bodyDiv w:val="1"/>
      <w:marLeft w:val="0"/>
      <w:marRight w:val="0"/>
      <w:marTop w:val="0"/>
      <w:marBottom w:val="0"/>
      <w:divBdr>
        <w:top w:val="none" w:sz="0" w:space="0" w:color="auto"/>
        <w:left w:val="none" w:sz="0" w:space="0" w:color="auto"/>
        <w:bottom w:val="none" w:sz="0" w:space="0" w:color="auto"/>
        <w:right w:val="none" w:sz="0" w:space="0" w:color="auto"/>
      </w:divBdr>
    </w:div>
    <w:div w:id="822619345">
      <w:bodyDiv w:val="1"/>
      <w:marLeft w:val="0"/>
      <w:marRight w:val="0"/>
      <w:marTop w:val="0"/>
      <w:marBottom w:val="0"/>
      <w:divBdr>
        <w:top w:val="none" w:sz="0" w:space="0" w:color="auto"/>
        <w:left w:val="none" w:sz="0" w:space="0" w:color="auto"/>
        <w:bottom w:val="none" w:sz="0" w:space="0" w:color="auto"/>
        <w:right w:val="none" w:sz="0" w:space="0" w:color="auto"/>
      </w:divBdr>
    </w:div>
    <w:div w:id="1013067630">
      <w:bodyDiv w:val="1"/>
      <w:marLeft w:val="0"/>
      <w:marRight w:val="0"/>
      <w:marTop w:val="0"/>
      <w:marBottom w:val="0"/>
      <w:divBdr>
        <w:top w:val="none" w:sz="0" w:space="0" w:color="auto"/>
        <w:left w:val="none" w:sz="0" w:space="0" w:color="auto"/>
        <w:bottom w:val="none" w:sz="0" w:space="0" w:color="auto"/>
        <w:right w:val="none" w:sz="0" w:space="0" w:color="auto"/>
      </w:divBdr>
    </w:div>
    <w:div w:id="1096246788">
      <w:bodyDiv w:val="1"/>
      <w:marLeft w:val="0"/>
      <w:marRight w:val="0"/>
      <w:marTop w:val="0"/>
      <w:marBottom w:val="0"/>
      <w:divBdr>
        <w:top w:val="none" w:sz="0" w:space="0" w:color="auto"/>
        <w:left w:val="none" w:sz="0" w:space="0" w:color="auto"/>
        <w:bottom w:val="none" w:sz="0" w:space="0" w:color="auto"/>
        <w:right w:val="none" w:sz="0" w:space="0" w:color="auto"/>
      </w:divBdr>
    </w:div>
    <w:div w:id="1151867020">
      <w:bodyDiv w:val="1"/>
      <w:marLeft w:val="0"/>
      <w:marRight w:val="0"/>
      <w:marTop w:val="0"/>
      <w:marBottom w:val="0"/>
      <w:divBdr>
        <w:top w:val="none" w:sz="0" w:space="0" w:color="auto"/>
        <w:left w:val="none" w:sz="0" w:space="0" w:color="auto"/>
        <w:bottom w:val="none" w:sz="0" w:space="0" w:color="auto"/>
        <w:right w:val="none" w:sz="0" w:space="0" w:color="auto"/>
      </w:divBdr>
    </w:div>
    <w:div w:id="1181554731">
      <w:bodyDiv w:val="1"/>
      <w:marLeft w:val="0"/>
      <w:marRight w:val="0"/>
      <w:marTop w:val="0"/>
      <w:marBottom w:val="0"/>
      <w:divBdr>
        <w:top w:val="none" w:sz="0" w:space="0" w:color="auto"/>
        <w:left w:val="none" w:sz="0" w:space="0" w:color="auto"/>
        <w:bottom w:val="none" w:sz="0" w:space="0" w:color="auto"/>
        <w:right w:val="none" w:sz="0" w:space="0" w:color="auto"/>
      </w:divBdr>
    </w:div>
    <w:div w:id="1241911841">
      <w:bodyDiv w:val="1"/>
      <w:marLeft w:val="0"/>
      <w:marRight w:val="0"/>
      <w:marTop w:val="0"/>
      <w:marBottom w:val="0"/>
      <w:divBdr>
        <w:top w:val="none" w:sz="0" w:space="0" w:color="auto"/>
        <w:left w:val="none" w:sz="0" w:space="0" w:color="auto"/>
        <w:bottom w:val="none" w:sz="0" w:space="0" w:color="auto"/>
        <w:right w:val="none" w:sz="0" w:space="0" w:color="auto"/>
      </w:divBdr>
    </w:div>
    <w:div w:id="1343509286">
      <w:bodyDiv w:val="1"/>
      <w:marLeft w:val="0"/>
      <w:marRight w:val="0"/>
      <w:marTop w:val="0"/>
      <w:marBottom w:val="0"/>
      <w:divBdr>
        <w:top w:val="none" w:sz="0" w:space="0" w:color="auto"/>
        <w:left w:val="none" w:sz="0" w:space="0" w:color="auto"/>
        <w:bottom w:val="none" w:sz="0" w:space="0" w:color="auto"/>
        <w:right w:val="none" w:sz="0" w:space="0" w:color="auto"/>
      </w:divBdr>
    </w:div>
    <w:div w:id="1447237012">
      <w:bodyDiv w:val="1"/>
      <w:marLeft w:val="0"/>
      <w:marRight w:val="0"/>
      <w:marTop w:val="0"/>
      <w:marBottom w:val="0"/>
      <w:divBdr>
        <w:top w:val="none" w:sz="0" w:space="0" w:color="auto"/>
        <w:left w:val="none" w:sz="0" w:space="0" w:color="auto"/>
        <w:bottom w:val="none" w:sz="0" w:space="0" w:color="auto"/>
        <w:right w:val="none" w:sz="0" w:space="0" w:color="auto"/>
      </w:divBdr>
    </w:div>
    <w:div w:id="1468352106">
      <w:bodyDiv w:val="1"/>
      <w:marLeft w:val="0"/>
      <w:marRight w:val="0"/>
      <w:marTop w:val="0"/>
      <w:marBottom w:val="0"/>
      <w:divBdr>
        <w:top w:val="none" w:sz="0" w:space="0" w:color="auto"/>
        <w:left w:val="none" w:sz="0" w:space="0" w:color="auto"/>
        <w:bottom w:val="none" w:sz="0" w:space="0" w:color="auto"/>
        <w:right w:val="none" w:sz="0" w:space="0" w:color="auto"/>
      </w:divBdr>
    </w:div>
    <w:div w:id="1580364334">
      <w:bodyDiv w:val="1"/>
      <w:marLeft w:val="0"/>
      <w:marRight w:val="0"/>
      <w:marTop w:val="0"/>
      <w:marBottom w:val="0"/>
      <w:divBdr>
        <w:top w:val="none" w:sz="0" w:space="0" w:color="auto"/>
        <w:left w:val="none" w:sz="0" w:space="0" w:color="auto"/>
        <w:bottom w:val="none" w:sz="0" w:space="0" w:color="auto"/>
        <w:right w:val="none" w:sz="0" w:space="0" w:color="auto"/>
      </w:divBdr>
    </w:div>
    <w:div w:id="1688944878">
      <w:bodyDiv w:val="1"/>
      <w:marLeft w:val="0"/>
      <w:marRight w:val="0"/>
      <w:marTop w:val="0"/>
      <w:marBottom w:val="0"/>
      <w:divBdr>
        <w:top w:val="none" w:sz="0" w:space="0" w:color="auto"/>
        <w:left w:val="none" w:sz="0" w:space="0" w:color="auto"/>
        <w:bottom w:val="none" w:sz="0" w:space="0" w:color="auto"/>
        <w:right w:val="none" w:sz="0" w:space="0" w:color="auto"/>
      </w:divBdr>
    </w:div>
    <w:div w:id="1724330966">
      <w:bodyDiv w:val="1"/>
      <w:marLeft w:val="0"/>
      <w:marRight w:val="0"/>
      <w:marTop w:val="0"/>
      <w:marBottom w:val="0"/>
      <w:divBdr>
        <w:top w:val="none" w:sz="0" w:space="0" w:color="auto"/>
        <w:left w:val="none" w:sz="0" w:space="0" w:color="auto"/>
        <w:bottom w:val="none" w:sz="0" w:space="0" w:color="auto"/>
        <w:right w:val="none" w:sz="0" w:space="0" w:color="auto"/>
      </w:divBdr>
    </w:div>
    <w:div w:id="1868566966">
      <w:bodyDiv w:val="1"/>
      <w:marLeft w:val="0"/>
      <w:marRight w:val="0"/>
      <w:marTop w:val="0"/>
      <w:marBottom w:val="0"/>
      <w:divBdr>
        <w:top w:val="none" w:sz="0" w:space="0" w:color="auto"/>
        <w:left w:val="none" w:sz="0" w:space="0" w:color="auto"/>
        <w:bottom w:val="none" w:sz="0" w:space="0" w:color="auto"/>
        <w:right w:val="none" w:sz="0" w:space="0" w:color="auto"/>
      </w:divBdr>
    </w:div>
    <w:div w:id="1961448231">
      <w:bodyDiv w:val="1"/>
      <w:marLeft w:val="0"/>
      <w:marRight w:val="0"/>
      <w:marTop w:val="0"/>
      <w:marBottom w:val="0"/>
      <w:divBdr>
        <w:top w:val="none" w:sz="0" w:space="0" w:color="auto"/>
        <w:left w:val="none" w:sz="0" w:space="0" w:color="auto"/>
        <w:bottom w:val="none" w:sz="0" w:space="0" w:color="auto"/>
        <w:right w:val="none" w:sz="0" w:space="0" w:color="auto"/>
      </w:divBdr>
    </w:div>
    <w:div w:id="20137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CC74-D677-4AAB-B26D-8EE93A2A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10208</TotalTime>
  <Pages>25</Pages>
  <Words>7779</Words>
  <Characters>49720</Characters>
  <Application>Microsoft Office Word</Application>
  <DocSecurity>0</DocSecurity>
  <Lines>414</Lines>
  <Paragraphs>114</Paragraphs>
  <ScaleCrop>false</ScaleCrop>
  <HeadingPairs>
    <vt:vector size="2" baseType="variant">
      <vt:variant>
        <vt:lpstr>Title</vt:lpstr>
      </vt:variant>
      <vt:variant>
        <vt:i4>1</vt:i4>
      </vt:variant>
    </vt:vector>
  </HeadingPairs>
  <TitlesOfParts>
    <vt:vector size="1" baseType="lpstr">
      <vt:lpstr>A1</vt:lpstr>
    </vt:vector>
  </TitlesOfParts>
  <Company>MBF Holdings sdn</Company>
  <LinksUpToDate>false</LinksUpToDate>
  <CharactersWithSpaces>57385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subject/>
  <dc:creator>MBF</dc:creator>
  <cp:keywords/>
  <dc:description/>
  <cp:lastModifiedBy> </cp:lastModifiedBy>
  <cp:revision>282</cp:revision>
  <cp:lastPrinted>2012-08-29T09:30:00Z</cp:lastPrinted>
  <dcterms:created xsi:type="dcterms:W3CDTF">2012-05-19T08:03:00Z</dcterms:created>
  <dcterms:modified xsi:type="dcterms:W3CDTF">2012-08-29T09:58:00Z</dcterms:modified>
</cp:coreProperties>
</file>